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2C" w:rsidRDefault="0099512C"/>
    <w:p w:rsidR="0011237E" w:rsidRPr="0011237E" w:rsidRDefault="0011237E" w:rsidP="0011237E">
      <w:pPr>
        <w:spacing w:line="0" w:lineRule="atLeast"/>
        <w:ind w:right="60"/>
        <w:jc w:val="center"/>
        <w:rPr>
          <w:rFonts w:ascii="Arial" w:eastAsia="Arial" w:hAnsi="Arial"/>
          <w:b/>
          <w:color w:val="E36C0A" w:themeColor="accent6" w:themeShade="BF"/>
          <w:sz w:val="28"/>
        </w:rPr>
      </w:pPr>
      <w:r w:rsidRPr="0011237E">
        <w:rPr>
          <w:rFonts w:ascii="Arial" w:eastAsia="Arial" w:hAnsi="Arial"/>
          <w:b/>
          <w:color w:val="E36C0A" w:themeColor="accent6" w:themeShade="BF"/>
          <w:sz w:val="28"/>
        </w:rPr>
        <w:t>INTERNAT</w:t>
      </w:r>
      <w:r w:rsidR="007A0539">
        <w:rPr>
          <w:rFonts w:ascii="Arial" w:eastAsia="Arial" w:hAnsi="Arial"/>
          <w:b/>
          <w:color w:val="E36C0A" w:themeColor="accent6" w:themeShade="BF"/>
          <w:sz w:val="28"/>
        </w:rPr>
        <w:t>I</w:t>
      </w:r>
      <w:r w:rsidRPr="0011237E">
        <w:rPr>
          <w:rFonts w:ascii="Arial" w:eastAsia="Arial" w:hAnsi="Arial"/>
          <w:b/>
          <w:color w:val="E36C0A" w:themeColor="accent6" w:themeShade="BF"/>
          <w:sz w:val="28"/>
        </w:rPr>
        <w:t>ONAL BUSINESS VALUERS ASSOCIATION</w:t>
      </w:r>
    </w:p>
    <w:p w:rsidR="0011237E" w:rsidRDefault="0011237E"/>
    <w:p w:rsidR="0011237E" w:rsidRDefault="0011237E"/>
    <w:p w:rsidR="0011237E" w:rsidRDefault="0011237E" w:rsidP="0011237E">
      <w:pPr>
        <w:spacing w:line="0" w:lineRule="atLeast"/>
        <w:ind w:right="40"/>
        <w:jc w:val="center"/>
        <w:rPr>
          <w:rFonts w:ascii="Arial" w:eastAsia="Arial" w:hAnsi="Arial"/>
          <w:b/>
          <w:color w:val="548DD4" w:themeColor="text2" w:themeTint="99"/>
          <w:sz w:val="31"/>
        </w:rPr>
      </w:pPr>
      <w:r w:rsidRPr="0011237E">
        <w:rPr>
          <w:rFonts w:ascii="Arial" w:eastAsia="Arial" w:hAnsi="Arial"/>
          <w:b/>
          <w:color w:val="548DD4" w:themeColor="text2" w:themeTint="99"/>
          <w:sz w:val="31"/>
        </w:rPr>
        <w:t>INSPECTION POLICY</w:t>
      </w:r>
    </w:p>
    <w:p w:rsidR="0011237E" w:rsidRDefault="0011237E" w:rsidP="0011237E">
      <w:pPr>
        <w:spacing w:line="0" w:lineRule="atLeast"/>
        <w:ind w:right="40"/>
        <w:rPr>
          <w:rFonts w:ascii="Arial" w:eastAsia="Arial" w:hAnsi="Arial"/>
          <w:b/>
          <w:color w:val="548DD4" w:themeColor="text2" w:themeTint="99"/>
          <w:sz w:val="24"/>
        </w:rPr>
      </w:pPr>
    </w:p>
    <w:p w:rsidR="006D38A3" w:rsidRPr="00DF2BA6" w:rsidRDefault="006D38A3" w:rsidP="006D38A3">
      <w:pPr>
        <w:spacing w:line="0" w:lineRule="atLeast"/>
        <w:rPr>
          <w:rFonts w:ascii="Arial" w:eastAsia="Arial" w:hAnsi="Arial"/>
          <w:b/>
          <w:color w:val="E36C0A" w:themeColor="accent6" w:themeShade="BF"/>
          <w:sz w:val="23"/>
        </w:rPr>
      </w:pPr>
      <w:r w:rsidRPr="00DF2BA6">
        <w:rPr>
          <w:rFonts w:ascii="Arial" w:eastAsia="Arial" w:hAnsi="Arial"/>
          <w:b/>
          <w:color w:val="E36C0A" w:themeColor="accent6" w:themeShade="BF"/>
          <w:sz w:val="23"/>
        </w:rPr>
        <w:t>AIM OF THE INSPECTION POLICY</w:t>
      </w:r>
    </w:p>
    <w:p w:rsidR="006D38A3" w:rsidRDefault="006D38A3" w:rsidP="006D38A3">
      <w:pPr>
        <w:spacing w:line="206" w:lineRule="exact"/>
        <w:rPr>
          <w:rFonts w:ascii="Times New Roman" w:eastAsia="Times New Roman" w:hAnsi="Times New Roman"/>
        </w:rPr>
      </w:pPr>
    </w:p>
    <w:p w:rsidR="004F59E2" w:rsidRDefault="006D38A3" w:rsidP="006D38A3">
      <w:pPr>
        <w:spacing w:line="282" w:lineRule="auto"/>
        <w:jc w:val="both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The main aim of th</w:t>
      </w:r>
      <w:bookmarkStart w:id="0" w:name="_GoBack"/>
      <w:bookmarkEnd w:id="0"/>
      <w:r>
        <w:rPr>
          <w:rFonts w:ascii="Arial" w:eastAsia="Arial" w:hAnsi="Arial"/>
          <w:b/>
          <w:sz w:val="23"/>
        </w:rPr>
        <w:t xml:space="preserve">e Inspection Policy is to regulate the Registered </w:t>
      </w:r>
      <w:proofErr w:type="spellStart"/>
      <w:r>
        <w:rPr>
          <w:rFonts w:ascii="Arial" w:eastAsia="Arial" w:hAnsi="Arial"/>
          <w:b/>
          <w:sz w:val="23"/>
        </w:rPr>
        <w:t>Valuers</w:t>
      </w:r>
      <w:proofErr w:type="spellEnd"/>
      <w:r>
        <w:rPr>
          <w:rFonts w:ascii="Arial" w:eastAsia="Arial" w:hAnsi="Arial"/>
          <w:b/>
          <w:sz w:val="23"/>
        </w:rPr>
        <w:t xml:space="preserve"> registered with </w:t>
      </w:r>
      <w:r w:rsidRPr="003B2A1E">
        <w:rPr>
          <w:rFonts w:ascii="Arial" w:eastAsia="Arial" w:hAnsi="Arial"/>
          <w:b/>
          <w:sz w:val="23"/>
        </w:rPr>
        <w:t>IBVA-RVO</w:t>
      </w:r>
      <w:r>
        <w:rPr>
          <w:rFonts w:ascii="Arial" w:eastAsia="Arial" w:hAnsi="Arial"/>
          <w:b/>
          <w:sz w:val="23"/>
        </w:rPr>
        <w:t xml:space="preserve"> and monitoring the</w:t>
      </w:r>
      <w:r w:rsidR="005C5372">
        <w:rPr>
          <w:rFonts w:ascii="Arial" w:eastAsia="Arial" w:hAnsi="Arial"/>
          <w:b/>
          <w:sz w:val="23"/>
        </w:rPr>
        <w:t>ir</w:t>
      </w:r>
      <w:r w:rsidR="004B6F35">
        <w:rPr>
          <w:rFonts w:ascii="Arial" w:eastAsia="Arial" w:hAnsi="Arial"/>
          <w:b/>
          <w:sz w:val="23"/>
        </w:rPr>
        <w:t xml:space="preserve"> services by the members. </w:t>
      </w:r>
      <w:r w:rsidR="004F59E2">
        <w:rPr>
          <w:rFonts w:ascii="Arial" w:eastAsia="Arial" w:hAnsi="Arial"/>
          <w:b/>
          <w:sz w:val="23"/>
        </w:rPr>
        <w:t xml:space="preserve">This policy applies to all </w:t>
      </w:r>
      <w:proofErr w:type="spellStart"/>
      <w:r w:rsidR="004F59E2">
        <w:rPr>
          <w:rFonts w:ascii="Arial" w:eastAsia="Arial" w:hAnsi="Arial"/>
          <w:b/>
          <w:sz w:val="23"/>
        </w:rPr>
        <w:t>valuers</w:t>
      </w:r>
      <w:proofErr w:type="spellEnd"/>
      <w:r w:rsidR="004F59E2">
        <w:rPr>
          <w:rFonts w:ascii="Arial" w:eastAsia="Arial" w:hAnsi="Arial"/>
          <w:b/>
          <w:sz w:val="23"/>
        </w:rPr>
        <w:t xml:space="preserve"> registered with IBVA-RVO.</w:t>
      </w:r>
      <w:r w:rsidR="004F59E2">
        <w:rPr>
          <w:rFonts w:ascii="Arial" w:eastAsia="Arial" w:hAnsi="Arial"/>
          <w:b/>
          <w:sz w:val="23"/>
        </w:rPr>
        <w:t xml:space="preserve"> The policy will also help the members in improving their standards in their services and fulfill the same as per the requirement of regulation.</w:t>
      </w:r>
    </w:p>
    <w:p w:rsidR="006D38A3" w:rsidRDefault="006D38A3" w:rsidP="006D38A3">
      <w:pPr>
        <w:spacing w:line="148" w:lineRule="exact"/>
        <w:rPr>
          <w:rFonts w:ascii="Times New Roman" w:eastAsia="Times New Roman" w:hAnsi="Times New Roman"/>
        </w:rPr>
      </w:pPr>
    </w:p>
    <w:p w:rsidR="006D38A3" w:rsidRDefault="008F0009" w:rsidP="006D38A3">
      <w:pPr>
        <w:spacing w:line="287" w:lineRule="auto"/>
        <w:ind w:right="20"/>
        <w:jc w:val="both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C</w:t>
      </w:r>
      <w:r w:rsidR="006D38A3">
        <w:rPr>
          <w:rFonts w:ascii="Arial" w:eastAsia="Arial" w:hAnsi="Arial"/>
          <w:b/>
          <w:sz w:val="23"/>
        </w:rPr>
        <w:t>ommittee will collect information and details from the RV and submit to the IBVA-RVO board for proceeding without any favoritism or without any bias.</w:t>
      </w:r>
    </w:p>
    <w:p w:rsidR="0011237E" w:rsidRDefault="0011237E" w:rsidP="0011237E">
      <w:pPr>
        <w:spacing w:line="201" w:lineRule="exact"/>
        <w:rPr>
          <w:rFonts w:ascii="Times New Roman" w:eastAsia="Times New Roman" w:hAnsi="Times New Roman"/>
        </w:rPr>
      </w:pPr>
    </w:p>
    <w:p w:rsidR="00213740" w:rsidRDefault="00213740" w:rsidP="0011237E">
      <w:pPr>
        <w:spacing w:line="201" w:lineRule="exact"/>
        <w:rPr>
          <w:rFonts w:ascii="Times New Roman" w:eastAsia="Times New Roman" w:hAnsi="Times New Roman"/>
        </w:rPr>
      </w:pPr>
    </w:p>
    <w:p w:rsidR="0011237E" w:rsidRPr="00DF2BA6" w:rsidRDefault="0011237E" w:rsidP="0011237E">
      <w:pPr>
        <w:spacing w:line="0" w:lineRule="atLeast"/>
        <w:rPr>
          <w:rFonts w:ascii="Arial" w:eastAsia="Arial" w:hAnsi="Arial"/>
          <w:b/>
          <w:color w:val="E36C0A" w:themeColor="accent6" w:themeShade="BF"/>
          <w:sz w:val="23"/>
        </w:rPr>
      </w:pPr>
      <w:r w:rsidRPr="00DF2BA6">
        <w:rPr>
          <w:rFonts w:ascii="Arial" w:eastAsia="Arial" w:hAnsi="Arial"/>
          <w:b/>
          <w:color w:val="E36C0A" w:themeColor="accent6" w:themeShade="BF"/>
          <w:sz w:val="23"/>
        </w:rPr>
        <w:t>INTRODUCTION</w:t>
      </w:r>
    </w:p>
    <w:p w:rsidR="00213740" w:rsidRDefault="00213740" w:rsidP="0011237E">
      <w:pPr>
        <w:spacing w:line="303" w:lineRule="auto"/>
        <w:jc w:val="both"/>
        <w:rPr>
          <w:rFonts w:ascii="Arial" w:eastAsia="Arial" w:hAnsi="Arial"/>
          <w:b/>
          <w:sz w:val="23"/>
        </w:rPr>
      </w:pPr>
    </w:p>
    <w:p w:rsidR="00231E2C" w:rsidRDefault="00213740" w:rsidP="00213740">
      <w:pPr>
        <w:spacing w:line="309" w:lineRule="auto"/>
        <w:jc w:val="both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Inspection policy has been</w:t>
      </w:r>
      <w:r w:rsidR="0011237E">
        <w:rPr>
          <w:rFonts w:ascii="Arial" w:eastAsia="Arial" w:hAnsi="Arial"/>
          <w:b/>
          <w:sz w:val="23"/>
        </w:rPr>
        <w:t xml:space="preserve"> framed </w:t>
      </w:r>
      <w:r>
        <w:rPr>
          <w:rFonts w:ascii="Arial" w:eastAsia="Arial" w:hAnsi="Arial"/>
          <w:b/>
          <w:sz w:val="23"/>
        </w:rPr>
        <w:t xml:space="preserve">to help the Registered </w:t>
      </w:r>
      <w:proofErr w:type="spellStart"/>
      <w:r>
        <w:rPr>
          <w:rFonts w:ascii="Arial" w:eastAsia="Arial" w:hAnsi="Arial"/>
          <w:b/>
          <w:sz w:val="23"/>
        </w:rPr>
        <w:t>Valuers</w:t>
      </w:r>
      <w:proofErr w:type="spellEnd"/>
      <w:r>
        <w:rPr>
          <w:rFonts w:ascii="Arial" w:eastAsia="Arial" w:hAnsi="Arial"/>
          <w:b/>
          <w:sz w:val="23"/>
        </w:rPr>
        <w:t xml:space="preserve"> in the Association to work according to the policy in line with the IBBI legal frame </w:t>
      </w:r>
      <w:proofErr w:type="spellStart"/>
      <w:r>
        <w:rPr>
          <w:rFonts w:ascii="Arial" w:eastAsia="Arial" w:hAnsi="Arial"/>
          <w:b/>
          <w:sz w:val="23"/>
        </w:rPr>
        <w:t>work.</w:t>
      </w:r>
      <w:r w:rsidR="00231E2C">
        <w:rPr>
          <w:rFonts w:ascii="Arial" w:eastAsia="Arial" w:hAnsi="Arial"/>
          <w:b/>
          <w:sz w:val="23"/>
        </w:rPr>
        <w:t>The</w:t>
      </w:r>
      <w:proofErr w:type="spellEnd"/>
      <w:r w:rsidR="00231E2C">
        <w:rPr>
          <w:rFonts w:ascii="Arial" w:eastAsia="Arial" w:hAnsi="Arial"/>
          <w:b/>
          <w:sz w:val="23"/>
        </w:rPr>
        <w:t xml:space="preserve"> Policy would ensure that</w:t>
      </w:r>
    </w:p>
    <w:p w:rsidR="0011237E" w:rsidRDefault="0011237E" w:rsidP="0011237E">
      <w:pPr>
        <w:spacing w:line="303" w:lineRule="auto"/>
        <w:jc w:val="both"/>
        <w:rPr>
          <w:rFonts w:ascii="Arial" w:eastAsia="Arial" w:hAnsi="Arial"/>
          <w:b/>
          <w:sz w:val="23"/>
        </w:rPr>
      </w:pPr>
    </w:p>
    <w:p w:rsidR="0011237E" w:rsidRDefault="0011237E" w:rsidP="0011237E">
      <w:pPr>
        <w:spacing w:line="135" w:lineRule="exact"/>
        <w:rPr>
          <w:rFonts w:ascii="Times New Roman" w:eastAsia="Times New Roman" w:hAnsi="Times New Roman"/>
        </w:rPr>
      </w:pPr>
    </w:p>
    <w:p w:rsidR="0011237E" w:rsidRPr="0011237E" w:rsidRDefault="00DB564C" w:rsidP="0011237E">
      <w:pPr>
        <w:pStyle w:val="ListParagraph"/>
        <w:numPr>
          <w:ilvl w:val="0"/>
          <w:numId w:val="1"/>
        </w:numPr>
        <w:spacing w:line="298" w:lineRule="auto"/>
        <w:ind w:right="20"/>
        <w:jc w:val="both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Relevant information is</w:t>
      </w:r>
      <w:r w:rsidR="0011237E" w:rsidRPr="0011237E">
        <w:rPr>
          <w:rFonts w:ascii="Arial" w:eastAsia="Arial" w:hAnsi="Arial"/>
          <w:b/>
          <w:sz w:val="23"/>
        </w:rPr>
        <w:t xml:space="preserve"> submitted to</w:t>
      </w:r>
      <w:r>
        <w:rPr>
          <w:rFonts w:ascii="Arial" w:eastAsia="Arial" w:hAnsi="Arial"/>
          <w:b/>
          <w:sz w:val="23"/>
        </w:rPr>
        <w:t xml:space="preserve"> the</w:t>
      </w:r>
      <w:r w:rsidR="0011237E" w:rsidRPr="0011237E">
        <w:rPr>
          <w:rFonts w:ascii="Arial" w:eastAsia="Arial" w:hAnsi="Arial"/>
          <w:b/>
          <w:sz w:val="23"/>
        </w:rPr>
        <w:t xml:space="preserve"> IBVA-RVO as per the Regulations </w:t>
      </w:r>
      <w:r>
        <w:rPr>
          <w:rFonts w:ascii="Arial" w:eastAsia="Arial" w:hAnsi="Arial"/>
          <w:b/>
          <w:sz w:val="23"/>
        </w:rPr>
        <w:t>issued by the IBBI.</w:t>
      </w:r>
    </w:p>
    <w:p w:rsidR="0011237E" w:rsidRPr="0011237E" w:rsidRDefault="0011237E" w:rsidP="0011237E">
      <w:pPr>
        <w:pStyle w:val="ListParagraph"/>
        <w:numPr>
          <w:ilvl w:val="0"/>
          <w:numId w:val="1"/>
        </w:numPr>
        <w:spacing w:line="299" w:lineRule="auto"/>
        <w:jc w:val="both"/>
        <w:rPr>
          <w:rFonts w:ascii="Arial" w:eastAsia="Arial" w:hAnsi="Arial"/>
          <w:b/>
          <w:sz w:val="23"/>
        </w:rPr>
      </w:pPr>
      <w:r w:rsidRPr="0011237E">
        <w:rPr>
          <w:rFonts w:ascii="Arial" w:eastAsia="Arial" w:hAnsi="Arial"/>
          <w:b/>
          <w:sz w:val="23"/>
        </w:rPr>
        <w:t>Every Member required to work as per the guide lines and legal frame work given by IBVA-RVO and will be inspected by the committee formed by the IBVA-RVO Board</w:t>
      </w:r>
    </w:p>
    <w:p w:rsidR="0011237E" w:rsidRDefault="0011237E" w:rsidP="0011237E">
      <w:pPr>
        <w:pStyle w:val="ListParagraph"/>
        <w:numPr>
          <w:ilvl w:val="0"/>
          <w:numId w:val="1"/>
        </w:numPr>
        <w:spacing w:line="298" w:lineRule="auto"/>
        <w:jc w:val="both"/>
        <w:rPr>
          <w:rFonts w:ascii="Arial" w:eastAsia="Arial" w:hAnsi="Arial"/>
          <w:b/>
          <w:sz w:val="23"/>
        </w:rPr>
      </w:pPr>
      <w:r w:rsidRPr="0011237E">
        <w:rPr>
          <w:rFonts w:ascii="Arial" w:eastAsia="Arial" w:hAnsi="Arial"/>
          <w:b/>
          <w:sz w:val="23"/>
        </w:rPr>
        <w:t xml:space="preserve">Members </w:t>
      </w:r>
      <w:r w:rsidR="00DB564C">
        <w:rPr>
          <w:rFonts w:ascii="Arial" w:eastAsia="Arial" w:hAnsi="Arial"/>
          <w:b/>
          <w:sz w:val="23"/>
        </w:rPr>
        <w:t xml:space="preserve">would </w:t>
      </w:r>
      <w:r w:rsidRPr="0011237E">
        <w:rPr>
          <w:rFonts w:ascii="Arial" w:eastAsia="Arial" w:hAnsi="Arial"/>
          <w:b/>
          <w:sz w:val="23"/>
        </w:rPr>
        <w:t xml:space="preserve">submit </w:t>
      </w:r>
      <w:r w:rsidR="00DB564C">
        <w:rPr>
          <w:rFonts w:ascii="Arial" w:eastAsia="Arial" w:hAnsi="Arial"/>
          <w:b/>
          <w:sz w:val="23"/>
        </w:rPr>
        <w:t>valuation a</w:t>
      </w:r>
      <w:r w:rsidRPr="0011237E">
        <w:rPr>
          <w:rFonts w:ascii="Arial" w:eastAsia="Arial" w:hAnsi="Arial"/>
          <w:b/>
          <w:sz w:val="23"/>
        </w:rPr>
        <w:t>ssignment details as per IBBI periodically to the RVO</w:t>
      </w:r>
      <w:r w:rsidR="00DB564C">
        <w:rPr>
          <w:rFonts w:ascii="Arial" w:eastAsia="Arial" w:hAnsi="Arial"/>
          <w:b/>
          <w:sz w:val="23"/>
        </w:rPr>
        <w:t xml:space="preserve"> as per format designed by the IBBI. </w:t>
      </w:r>
    </w:p>
    <w:p w:rsidR="0011237E" w:rsidRPr="0011237E" w:rsidRDefault="008B5665" w:rsidP="0011237E">
      <w:pPr>
        <w:pStyle w:val="ListParagraph"/>
        <w:numPr>
          <w:ilvl w:val="0"/>
          <w:numId w:val="1"/>
        </w:num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A </w:t>
      </w:r>
      <w:r w:rsidR="0011237E" w:rsidRPr="0011237E">
        <w:rPr>
          <w:rFonts w:ascii="Arial" w:eastAsia="Arial" w:hAnsi="Arial"/>
          <w:b/>
          <w:sz w:val="23"/>
        </w:rPr>
        <w:t>Committee</w:t>
      </w:r>
      <w:r>
        <w:rPr>
          <w:rFonts w:ascii="Arial" w:eastAsia="Arial" w:hAnsi="Arial"/>
          <w:b/>
          <w:sz w:val="23"/>
        </w:rPr>
        <w:t xml:space="preserve"> is</w:t>
      </w:r>
      <w:r w:rsidR="0011237E" w:rsidRPr="0011237E">
        <w:rPr>
          <w:rFonts w:ascii="Arial" w:eastAsia="Arial" w:hAnsi="Arial"/>
          <w:b/>
          <w:sz w:val="23"/>
        </w:rPr>
        <w:t xml:space="preserve"> formed and approved by the IBVA-RVO board</w:t>
      </w:r>
    </w:p>
    <w:p w:rsidR="0011237E" w:rsidRDefault="0011237E" w:rsidP="0011237E">
      <w:pPr>
        <w:spacing w:line="66" w:lineRule="exact"/>
        <w:rPr>
          <w:rFonts w:ascii="Times New Roman" w:eastAsia="Times New Roman" w:hAnsi="Times New Roman"/>
        </w:rPr>
      </w:pPr>
    </w:p>
    <w:p w:rsidR="0011237E" w:rsidRPr="0011237E" w:rsidRDefault="00CA33FB" w:rsidP="0011237E">
      <w:pPr>
        <w:pStyle w:val="ListParagraph"/>
        <w:numPr>
          <w:ilvl w:val="0"/>
          <w:numId w:val="2"/>
        </w:numPr>
        <w:spacing w:line="298" w:lineRule="auto"/>
        <w:jc w:val="both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The </w:t>
      </w:r>
      <w:r w:rsidR="0011237E" w:rsidRPr="0011237E">
        <w:rPr>
          <w:rFonts w:ascii="Arial" w:eastAsia="Arial" w:hAnsi="Arial"/>
          <w:b/>
          <w:sz w:val="23"/>
        </w:rPr>
        <w:t>Committee will work according to the guide lines and as per the regulations of the rule in force.</w:t>
      </w:r>
    </w:p>
    <w:p w:rsidR="0011237E" w:rsidRPr="0011237E" w:rsidRDefault="0011237E" w:rsidP="0011237E">
      <w:pPr>
        <w:pStyle w:val="ListParagraph"/>
        <w:numPr>
          <w:ilvl w:val="0"/>
          <w:numId w:val="2"/>
        </w:numPr>
        <w:spacing w:line="305" w:lineRule="auto"/>
        <w:jc w:val="both"/>
        <w:rPr>
          <w:rFonts w:ascii="Arial" w:eastAsia="Arial" w:hAnsi="Arial"/>
          <w:b/>
          <w:sz w:val="23"/>
        </w:rPr>
      </w:pPr>
      <w:r w:rsidRPr="0011237E">
        <w:rPr>
          <w:rFonts w:ascii="Arial" w:eastAsia="Arial" w:hAnsi="Arial"/>
          <w:b/>
          <w:sz w:val="23"/>
        </w:rPr>
        <w:t>Committee will submit the findings and report to the Board and action required to be taken for further proceeding will be as per the Disciplinary Policy</w:t>
      </w:r>
    </w:p>
    <w:p w:rsidR="0011237E" w:rsidRDefault="0011237E" w:rsidP="0011237E">
      <w:pPr>
        <w:spacing w:line="128" w:lineRule="exact"/>
        <w:rPr>
          <w:rFonts w:ascii="Times New Roman" w:eastAsia="Times New Roman" w:hAnsi="Times New Roman"/>
        </w:rPr>
      </w:pPr>
    </w:p>
    <w:p w:rsidR="0011237E" w:rsidRDefault="0011237E" w:rsidP="0011237E">
      <w:pPr>
        <w:spacing w:line="287" w:lineRule="auto"/>
        <w:ind w:right="20"/>
        <w:jc w:val="both"/>
        <w:rPr>
          <w:rFonts w:ascii="Arial" w:eastAsia="Arial" w:hAnsi="Arial"/>
          <w:b/>
          <w:sz w:val="23"/>
        </w:rPr>
      </w:pPr>
    </w:p>
    <w:p w:rsidR="0011237E" w:rsidRDefault="0011237E" w:rsidP="0011237E">
      <w:pPr>
        <w:spacing w:line="287" w:lineRule="auto"/>
        <w:ind w:right="20"/>
        <w:jc w:val="both"/>
        <w:rPr>
          <w:rFonts w:ascii="Arial" w:eastAsia="Arial" w:hAnsi="Arial"/>
          <w:b/>
          <w:sz w:val="23"/>
        </w:rPr>
      </w:pPr>
    </w:p>
    <w:p w:rsidR="0011237E" w:rsidRDefault="0011237E" w:rsidP="0011237E">
      <w:pPr>
        <w:spacing w:line="287" w:lineRule="auto"/>
        <w:ind w:right="20"/>
        <w:jc w:val="both"/>
        <w:rPr>
          <w:rFonts w:ascii="Arial" w:eastAsia="Arial" w:hAnsi="Arial"/>
          <w:b/>
          <w:sz w:val="23"/>
        </w:rPr>
      </w:pPr>
    </w:p>
    <w:p w:rsidR="0011237E" w:rsidRDefault="0011237E" w:rsidP="0011237E">
      <w:pPr>
        <w:spacing w:line="287" w:lineRule="auto"/>
        <w:ind w:right="20"/>
        <w:jc w:val="both"/>
        <w:rPr>
          <w:rFonts w:ascii="Arial" w:eastAsia="Arial" w:hAnsi="Arial"/>
          <w:b/>
          <w:sz w:val="23"/>
        </w:rPr>
      </w:pPr>
    </w:p>
    <w:p w:rsidR="0011237E" w:rsidRPr="00DF2BA6" w:rsidRDefault="0011237E" w:rsidP="0011237E">
      <w:pPr>
        <w:spacing w:line="0" w:lineRule="atLeast"/>
        <w:rPr>
          <w:rFonts w:ascii="Arial" w:eastAsia="Arial" w:hAnsi="Arial"/>
          <w:b/>
          <w:color w:val="E36C0A" w:themeColor="accent6" w:themeShade="BF"/>
          <w:sz w:val="23"/>
        </w:rPr>
      </w:pPr>
      <w:r w:rsidRPr="00DF2BA6">
        <w:rPr>
          <w:rFonts w:ascii="Arial" w:eastAsia="Arial" w:hAnsi="Arial"/>
          <w:b/>
          <w:color w:val="E36C0A" w:themeColor="accent6" w:themeShade="BF"/>
          <w:sz w:val="23"/>
        </w:rPr>
        <w:lastRenderedPageBreak/>
        <w:t>DEFINITION</w:t>
      </w:r>
    </w:p>
    <w:p w:rsidR="0011237E" w:rsidRDefault="0011237E" w:rsidP="0011237E">
      <w:pPr>
        <w:spacing w:line="206" w:lineRule="exact"/>
        <w:rPr>
          <w:rFonts w:ascii="Times New Roman" w:eastAsia="Times New Roman" w:hAnsi="Times New Roman"/>
        </w:rPr>
      </w:pPr>
    </w:p>
    <w:p w:rsidR="0011237E" w:rsidRDefault="0011237E" w:rsidP="0011237E">
      <w:pPr>
        <w:spacing w:line="295" w:lineRule="auto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The following definition requires </w:t>
      </w:r>
      <w:proofErr w:type="gramStart"/>
      <w:r>
        <w:rPr>
          <w:rFonts w:ascii="Arial" w:eastAsia="Arial" w:hAnsi="Arial"/>
          <w:b/>
          <w:sz w:val="23"/>
        </w:rPr>
        <w:t>In</w:t>
      </w:r>
      <w:proofErr w:type="gramEnd"/>
      <w:r>
        <w:rPr>
          <w:rFonts w:ascii="Arial" w:eastAsia="Arial" w:hAnsi="Arial"/>
          <w:b/>
          <w:sz w:val="23"/>
        </w:rPr>
        <w:t xml:space="preserve"> this Policy, unless the context otherwise requires -</w:t>
      </w:r>
    </w:p>
    <w:p w:rsidR="0011237E" w:rsidRDefault="0011237E" w:rsidP="0011237E">
      <w:pPr>
        <w:spacing w:line="2" w:lineRule="exact"/>
        <w:rPr>
          <w:rFonts w:ascii="Times New Roman" w:eastAsia="Times New Roman" w:hAnsi="Times New Roman"/>
        </w:rPr>
      </w:pPr>
    </w:p>
    <w:p w:rsidR="0011237E" w:rsidRDefault="0011237E" w:rsidP="0011237E">
      <w:pPr>
        <w:pStyle w:val="ListParagraph"/>
        <w:numPr>
          <w:ilvl w:val="0"/>
          <w:numId w:val="4"/>
        </w:numPr>
        <w:spacing w:line="298" w:lineRule="auto"/>
        <w:rPr>
          <w:rFonts w:ascii="Arial" w:eastAsia="Arial" w:hAnsi="Arial"/>
          <w:b/>
          <w:sz w:val="23"/>
        </w:rPr>
      </w:pPr>
      <w:r w:rsidRPr="0011237E">
        <w:rPr>
          <w:rFonts w:ascii="Arial" w:eastAsia="Arial" w:hAnsi="Arial"/>
          <w:b/>
          <w:sz w:val="23"/>
        </w:rPr>
        <w:t>"Company" means a company registered under the Companies Act, 2013 (18 of 2013) or under the Companies Act, 1956 (1 of 1956);</w:t>
      </w:r>
    </w:p>
    <w:p w:rsidR="0011237E" w:rsidRPr="0011237E" w:rsidRDefault="0011237E" w:rsidP="0011237E">
      <w:pPr>
        <w:pStyle w:val="ListParagraph"/>
        <w:spacing w:line="298" w:lineRule="auto"/>
        <w:rPr>
          <w:rFonts w:ascii="Arial" w:eastAsia="Arial" w:hAnsi="Arial"/>
          <w:b/>
          <w:sz w:val="23"/>
        </w:rPr>
      </w:pPr>
    </w:p>
    <w:p w:rsidR="0011237E" w:rsidRPr="0011237E" w:rsidRDefault="0011237E" w:rsidP="0011237E">
      <w:pPr>
        <w:pStyle w:val="ListParagraph"/>
        <w:numPr>
          <w:ilvl w:val="0"/>
          <w:numId w:val="4"/>
        </w:numPr>
        <w:spacing w:line="0" w:lineRule="atLeast"/>
        <w:rPr>
          <w:rFonts w:ascii="Arial" w:eastAsia="Arial" w:hAnsi="Arial"/>
          <w:b/>
          <w:sz w:val="23"/>
        </w:rPr>
      </w:pPr>
      <w:r w:rsidRPr="0011237E">
        <w:rPr>
          <w:rFonts w:ascii="Arial" w:eastAsia="Arial" w:hAnsi="Arial"/>
          <w:b/>
          <w:sz w:val="23"/>
        </w:rPr>
        <w:t>"Act" means the Companies Act, 2013 (18 of 2013);</w:t>
      </w:r>
    </w:p>
    <w:p w:rsidR="0011237E" w:rsidRDefault="0011237E" w:rsidP="0011237E">
      <w:pPr>
        <w:spacing w:line="316" w:lineRule="exact"/>
        <w:rPr>
          <w:rFonts w:ascii="Times New Roman" w:eastAsia="Times New Roman" w:hAnsi="Times New Roman"/>
        </w:rPr>
      </w:pPr>
    </w:p>
    <w:p w:rsidR="0011237E" w:rsidRPr="0011237E" w:rsidRDefault="0011237E" w:rsidP="0011237E">
      <w:pPr>
        <w:pStyle w:val="ListParagraph"/>
        <w:numPr>
          <w:ilvl w:val="0"/>
          <w:numId w:val="4"/>
        </w:numPr>
        <w:spacing w:line="309" w:lineRule="auto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Asset Class as defined by</w:t>
      </w:r>
      <w:r w:rsidRPr="0011237E">
        <w:rPr>
          <w:rFonts w:ascii="Arial" w:eastAsia="Arial" w:hAnsi="Arial"/>
          <w:b/>
          <w:sz w:val="23"/>
        </w:rPr>
        <w:t xml:space="preserve"> the IBBI and separate valuers for each asset class as follows</w:t>
      </w:r>
    </w:p>
    <w:p w:rsidR="0011237E" w:rsidRDefault="0011237E" w:rsidP="0011237E">
      <w:pPr>
        <w:spacing w:line="236" w:lineRule="exact"/>
        <w:rPr>
          <w:rFonts w:ascii="Times New Roman" w:eastAsia="Times New Roman" w:hAnsi="Times New Roman"/>
        </w:rPr>
      </w:pPr>
    </w:p>
    <w:p w:rsidR="0011237E" w:rsidRDefault="0011237E" w:rsidP="0011237E">
      <w:pPr>
        <w:numPr>
          <w:ilvl w:val="1"/>
          <w:numId w:val="4"/>
        </w:numPr>
        <w:tabs>
          <w:tab w:val="left" w:pos="2100"/>
        </w:tabs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Land &amp; Building</w:t>
      </w:r>
    </w:p>
    <w:p w:rsidR="0011237E" w:rsidRDefault="0011237E" w:rsidP="0011237E">
      <w:pPr>
        <w:spacing w:line="316" w:lineRule="exact"/>
        <w:rPr>
          <w:rFonts w:ascii="Arial" w:eastAsia="Arial" w:hAnsi="Arial"/>
          <w:b/>
          <w:sz w:val="23"/>
        </w:rPr>
      </w:pPr>
    </w:p>
    <w:p w:rsidR="0011237E" w:rsidRDefault="0011237E" w:rsidP="0011237E">
      <w:pPr>
        <w:numPr>
          <w:ilvl w:val="1"/>
          <w:numId w:val="4"/>
        </w:numPr>
        <w:tabs>
          <w:tab w:val="left" w:pos="2100"/>
        </w:tabs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Plant and Machinery</w:t>
      </w:r>
    </w:p>
    <w:p w:rsidR="0011237E" w:rsidRDefault="0011237E" w:rsidP="0011237E">
      <w:pPr>
        <w:spacing w:line="316" w:lineRule="exact"/>
        <w:rPr>
          <w:rFonts w:ascii="Arial" w:eastAsia="Arial" w:hAnsi="Arial"/>
          <w:b/>
          <w:sz w:val="23"/>
        </w:rPr>
      </w:pPr>
    </w:p>
    <w:p w:rsidR="0011237E" w:rsidRDefault="0011237E" w:rsidP="0011237E">
      <w:pPr>
        <w:numPr>
          <w:ilvl w:val="1"/>
          <w:numId w:val="4"/>
        </w:numPr>
        <w:tabs>
          <w:tab w:val="left" w:pos="2100"/>
        </w:tabs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Securities or Financial Assets</w:t>
      </w:r>
    </w:p>
    <w:p w:rsidR="0011237E" w:rsidRDefault="0011237E" w:rsidP="0011237E">
      <w:pPr>
        <w:spacing w:line="305" w:lineRule="exact"/>
        <w:rPr>
          <w:rFonts w:ascii="Arial" w:eastAsia="Arial" w:hAnsi="Arial"/>
          <w:b/>
          <w:sz w:val="23"/>
        </w:rPr>
      </w:pPr>
    </w:p>
    <w:p w:rsidR="0011237E" w:rsidRDefault="0011237E" w:rsidP="0011237E">
      <w:pPr>
        <w:pStyle w:val="ListParagraph"/>
        <w:numPr>
          <w:ilvl w:val="0"/>
          <w:numId w:val="4"/>
        </w:numPr>
        <w:spacing w:line="0" w:lineRule="atLeast"/>
        <w:rPr>
          <w:rFonts w:ascii="Arial" w:eastAsia="Arial" w:hAnsi="Arial"/>
          <w:b/>
          <w:sz w:val="23"/>
        </w:rPr>
      </w:pPr>
      <w:r w:rsidRPr="0011237E">
        <w:rPr>
          <w:rFonts w:ascii="Arial" w:eastAsia="Arial" w:hAnsi="Arial"/>
          <w:b/>
          <w:sz w:val="23"/>
        </w:rPr>
        <w:t>IBVA – Bye Laws regulated from time to time</w:t>
      </w:r>
    </w:p>
    <w:p w:rsidR="0011237E" w:rsidRDefault="0011237E" w:rsidP="0011237E">
      <w:pPr>
        <w:pStyle w:val="ListParagraph"/>
        <w:spacing w:line="0" w:lineRule="atLeast"/>
        <w:rPr>
          <w:rFonts w:ascii="Arial" w:eastAsia="Arial" w:hAnsi="Arial"/>
          <w:b/>
          <w:sz w:val="23"/>
        </w:rPr>
      </w:pPr>
    </w:p>
    <w:p w:rsidR="0011237E" w:rsidRDefault="0011237E" w:rsidP="0011237E">
      <w:pPr>
        <w:pStyle w:val="ListParagraph"/>
        <w:spacing w:line="0" w:lineRule="atLeast"/>
        <w:rPr>
          <w:rFonts w:ascii="Arial" w:eastAsia="Arial" w:hAnsi="Arial"/>
          <w:b/>
          <w:sz w:val="23"/>
        </w:rPr>
      </w:pPr>
    </w:p>
    <w:p w:rsidR="0011237E" w:rsidRPr="0011237E" w:rsidRDefault="0011237E" w:rsidP="0011237E">
      <w:pPr>
        <w:pStyle w:val="ListParagraph"/>
        <w:numPr>
          <w:ilvl w:val="0"/>
          <w:numId w:val="4"/>
        </w:num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“VM” means Valuers Members on completion of 50 hrs course</w:t>
      </w:r>
    </w:p>
    <w:p w:rsidR="0011237E" w:rsidRDefault="0011237E" w:rsidP="0011237E">
      <w:pPr>
        <w:spacing w:line="318" w:lineRule="exact"/>
        <w:rPr>
          <w:rFonts w:ascii="Arial" w:eastAsia="Arial" w:hAnsi="Arial"/>
          <w:b/>
          <w:sz w:val="23"/>
        </w:rPr>
      </w:pPr>
    </w:p>
    <w:p w:rsidR="0011237E" w:rsidRDefault="0011237E" w:rsidP="0011237E">
      <w:pPr>
        <w:spacing w:line="313" w:lineRule="exact"/>
        <w:rPr>
          <w:rFonts w:ascii="Arial" w:eastAsia="Arial" w:hAnsi="Arial"/>
          <w:b/>
          <w:sz w:val="23"/>
        </w:rPr>
      </w:pPr>
    </w:p>
    <w:p w:rsidR="0011237E" w:rsidRDefault="0011237E" w:rsidP="0011237E">
      <w:pPr>
        <w:pStyle w:val="ListParagraph"/>
        <w:numPr>
          <w:ilvl w:val="0"/>
          <w:numId w:val="4"/>
        </w:numPr>
        <w:spacing w:line="309" w:lineRule="auto"/>
        <w:rPr>
          <w:rFonts w:ascii="Arial" w:eastAsia="Arial" w:hAnsi="Arial"/>
          <w:b/>
          <w:sz w:val="23"/>
        </w:rPr>
      </w:pPr>
      <w:r w:rsidRPr="0011237E">
        <w:rPr>
          <w:rFonts w:ascii="Arial" w:eastAsia="Arial" w:hAnsi="Arial"/>
          <w:b/>
          <w:sz w:val="23"/>
        </w:rPr>
        <w:t>“COP” means Certificate of Practice issued by IBVA-RVO on passing IBBI Examination and after getting Registered Valuers Certificate from IBBI.</w:t>
      </w:r>
    </w:p>
    <w:p w:rsidR="0011237E" w:rsidRPr="0011237E" w:rsidRDefault="0011237E" w:rsidP="0011237E">
      <w:pPr>
        <w:pStyle w:val="ListParagraph"/>
        <w:spacing w:line="309" w:lineRule="auto"/>
        <w:rPr>
          <w:rFonts w:ascii="Arial" w:eastAsia="Arial" w:hAnsi="Arial"/>
          <w:b/>
          <w:sz w:val="23"/>
        </w:rPr>
      </w:pPr>
    </w:p>
    <w:p w:rsidR="0011237E" w:rsidRDefault="0011237E" w:rsidP="0011237E">
      <w:pPr>
        <w:spacing w:line="230" w:lineRule="exact"/>
        <w:rPr>
          <w:rFonts w:ascii="Arial" w:eastAsia="Arial" w:hAnsi="Arial"/>
          <w:b/>
          <w:sz w:val="23"/>
        </w:rPr>
      </w:pPr>
    </w:p>
    <w:p w:rsidR="0011237E" w:rsidRDefault="0011237E" w:rsidP="0011237E">
      <w:pPr>
        <w:pStyle w:val="ListParagraph"/>
        <w:numPr>
          <w:ilvl w:val="0"/>
          <w:numId w:val="4"/>
        </w:numPr>
        <w:spacing w:line="302" w:lineRule="auto"/>
        <w:rPr>
          <w:rFonts w:ascii="Arial" w:eastAsia="Arial" w:hAnsi="Arial"/>
          <w:b/>
          <w:sz w:val="23"/>
        </w:rPr>
      </w:pPr>
      <w:r w:rsidRPr="0011237E">
        <w:rPr>
          <w:rFonts w:ascii="Arial" w:eastAsia="Arial" w:hAnsi="Arial"/>
          <w:b/>
          <w:sz w:val="23"/>
        </w:rPr>
        <w:t>“CEP” Continuing Education Program and obtain mandatory required points stipulated in the ACT / Rules and Regulation. The valuers require to attend the CEP conducted by IBVA–RVO and to acquire knowledge on asset class by the Valuers.</w:t>
      </w:r>
    </w:p>
    <w:p w:rsidR="0011237E" w:rsidRPr="0011237E" w:rsidRDefault="0011237E" w:rsidP="0011237E">
      <w:pPr>
        <w:pStyle w:val="ListParagraph"/>
        <w:spacing w:line="302" w:lineRule="auto"/>
        <w:rPr>
          <w:rFonts w:ascii="Arial" w:eastAsia="Arial" w:hAnsi="Arial"/>
          <w:b/>
          <w:sz w:val="23"/>
        </w:rPr>
      </w:pPr>
    </w:p>
    <w:p w:rsidR="0011237E" w:rsidRDefault="0011237E" w:rsidP="0011237E">
      <w:pPr>
        <w:spacing w:line="235" w:lineRule="exact"/>
        <w:rPr>
          <w:rFonts w:ascii="Arial" w:eastAsia="Arial" w:hAnsi="Arial"/>
          <w:b/>
          <w:sz w:val="23"/>
        </w:rPr>
      </w:pPr>
    </w:p>
    <w:p w:rsidR="0011237E" w:rsidRDefault="0011237E" w:rsidP="0011237E">
      <w:pPr>
        <w:pStyle w:val="ListParagraph"/>
        <w:numPr>
          <w:ilvl w:val="0"/>
          <w:numId w:val="4"/>
        </w:numPr>
        <w:spacing w:line="309" w:lineRule="auto"/>
        <w:rPr>
          <w:rFonts w:ascii="Arial" w:eastAsia="Arial" w:hAnsi="Arial"/>
          <w:b/>
          <w:sz w:val="23"/>
        </w:rPr>
      </w:pPr>
      <w:r w:rsidRPr="0011237E">
        <w:rPr>
          <w:rFonts w:ascii="Arial" w:eastAsia="Arial" w:hAnsi="Arial"/>
          <w:b/>
          <w:sz w:val="23"/>
        </w:rPr>
        <w:t>“Code of Conduct” as per the Bye Law and International Standards of Practice</w:t>
      </w:r>
    </w:p>
    <w:p w:rsidR="0011237E" w:rsidRDefault="0011237E" w:rsidP="0011237E">
      <w:pPr>
        <w:spacing w:line="309" w:lineRule="auto"/>
        <w:rPr>
          <w:rFonts w:ascii="Arial" w:eastAsia="Arial" w:hAnsi="Arial"/>
          <w:b/>
          <w:sz w:val="23"/>
        </w:rPr>
      </w:pPr>
    </w:p>
    <w:p w:rsidR="0011237E" w:rsidRDefault="0011237E" w:rsidP="0011237E">
      <w:pPr>
        <w:spacing w:line="309" w:lineRule="auto"/>
        <w:rPr>
          <w:rFonts w:ascii="Arial" w:eastAsia="Arial" w:hAnsi="Arial"/>
          <w:b/>
          <w:sz w:val="23"/>
        </w:rPr>
      </w:pPr>
    </w:p>
    <w:p w:rsidR="0011237E" w:rsidRDefault="0011237E" w:rsidP="0011237E">
      <w:pPr>
        <w:spacing w:line="309" w:lineRule="auto"/>
        <w:rPr>
          <w:rFonts w:ascii="Arial" w:eastAsia="Arial" w:hAnsi="Arial"/>
          <w:b/>
          <w:sz w:val="23"/>
        </w:rPr>
      </w:pPr>
    </w:p>
    <w:p w:rsidR="0011237E" w:rsidRDefault="0011237E" w:rsidP="0011237E">
      <w:pPr>
        <w:spacing w:line="309" w:lineRule="auto"/>
        <w:rPr>
          <w:rFonts w:ascii="Arial" w:eastAsia="Arial" w:hAnsi="Arial"/>
          <w:b/>
          <w:sz w:val="23"/>
        </w:rPr>
      </w:pPr>
    </w:p>
    <w:p w:rsidR="00932342" w:rsidRDefault="00932342" w:rsidP="0011237E">
      <w:pPr>
        <w:spacing w:line="309" w:lineRule="auto"/>
        <w:rPr>
          <w:rFonts w:ascii="Arial" w:eastAsia="Arial" w:hAnsi="Arial"/>
          <w:b/>
          <w:sz w:val="23"/>
        </w:rPr>
      </w:pPr>
    </w:p>
    <w:p w:rsidR="00932342" w:rsidRDefault="00932342" w:rsidP="0011237E">
      <w:pPr>
        <w:spacing w:line="309" w:lineRule="auto"/>
        <w:rPr>
          <w:rFonts w:ascii="Arial" w:eastAsia="Arial" w:hAnsi="Arial"/>
          <w:b/>
          <w:sz w:val="23"/>
        </w:rPr>
      </w:pPr>
    </w:p>
    <w:p w:rsidR="0011237E" w:rsidRDefault="0011237E" w:rsidP="0011237E">
      <w:pPr>
        <w:spacing w:line="309" w:lineRule="auto"/>
        <w:rPr>
          <w:rFonts w:ascii="Arial" w:eastAsia="Arial" w:hAnsi="Arial"/>
          <w:b/>
          <w:sz w:val="23"/>
        </w:rPr>
      </w:pPr>
    </w:p>
    <w:p w:rsidR="0011237E" w:rsidRPr="00DF2BA6" w:rsidRDefault="0011237E" w:rsidP="0011237E">
      <w:pPr>
        <w:spacing w:line="0" w:lineRule="atLeast"/>
        <w:rPr>
          <w:rFonts w:ascii="Arial" w:eastAsia="Arial" w:hAnsi="Arial"/>
          <w:b/>
          <w:color w:val="E36C0A" w:themeColor="accent6" w:themeShade="BF"/>
          <w:sz w:val="23"/>
        </w:rPr>
      </w:pPr>
      <w:r>
        <w:rPr>
          <w:rFonts w:ascii="Arial" w:eastAsia="Arial" w:hAnsi="Arial"/>
          <w:b/>
          <w:sz w:val="23"/>
        </w:rPr>
        <w:lastRenderedPageBreak/>
        <w:t xml:space="preserve"> </w:t>
      </w:r>
      <w:r w:rsidRPr="00DF2BA6">
        <w:rPr>
          <w:rFonts w:ascii="Arial" w:eastAsia="Arial" w:hAnsi="Arial"/>
          <w:b/>
          <w:color w:val="E36C0A" w:themeColor="accent6" w:themeShade="BF"/>
          <w:sz w:val="23"/>
        </w:rPr>
        <w:t>COMPLAINCE</w:t>
      </w:r>
    </w:p>
    <w:p w:rsidR="0011237E" w:rsidRDefault="0011237E" w:rsidP="0011237E">
      <w:pPr>
        <w:spacing w:line="208" w:lineRule="exact"/>
        <w:rPr>
          <w:rFonts w:ascii="Times New Roman" w:eastAsia="Times New Roman" w:hAnsi="Times New Roman"/>
        </w:rPr>
      </w:pPr>
    </w:p>
    <w:p w:rsidR="0011237E" w:rsidRDefault="0011237E" w:rsidP="0011237E">
      <w:pPr>
        <w:spacing w:line="289" w:lineRule="auto"/>
        <w:ind w:left="10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Every Registered Valuers required to submit </w:t>
      </w:r>
      <w:proofErr w:type="spellStart"/>
      <w:r>
        <w:rPr>
          <w:rFonts w:ascii="Arial" w:eastAsia="Arial" w:hAnsi="Arial"/>
          <w:b/>
          <w:sz w:val="23"/>
        </w:rPr>
        <w:t>informations</w:t>
      </w:r>
      <w:proofErr w:type="spellEnd"/>
      <w:r>
        <w:rPr>
          <w:rFonts w:ascii="Arial" w:eastAsia="Arial" w:hAnsi="Arial"/>
          <w:b/>
          <w:sz w:val="23"/>
        </w:rPr>
        <w:t xml:space="preserve"> as per the Bye Law and IBBI Legal frame work periodically to IBVA-RVO</w:t>
      </w:r>
    </w:p>
    <w:p w:rsidR="0011237E" w:rsidRDefault="0011237E" w:rsidP="0011237E">
      <w:pPr>
        <w:spacing w:line="133" w:lineRule="exact"/>
        <w:rPr>
          <w:rFonts w:ascii="Times New Roman" w:eastAsia="Times New Roman" w:hAnsi="Times New Roman"/>
        </w:rPr>
      </w:pPr>
    </w:p>
    <w:p w:rsidR="0011237E" w:rsidRDefault="0011237E" w:rsidP="0011237E">
      <w:pPr>
        <w:spacing w:line="0" w:lineRule="atLeast"/>
        <w:ind w:left="10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Nature of Complaints is defined based on the following.</w:t>
      </w:r>
    </w:p>
    <w:p w:rsidR="0011237E" w:rsidRDefault="0011237E" w:rsidP="00112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109855</wp:posOffset>
            </wp:positionV>
            <wp:extent cx="5859145" cy="260858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60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37E" w:rsidRDefault="0011237E" w:rsidP="0011237E">
      <w:pPr>
        <w:spacing w:line="15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300"/>
        <w:gridCol w:w="3800"/>
        <w:gridCol w:w="20"/>
        <w:gridCol w:w="3340"/>
        <w:gridCol w:w="20"/>
      </w:tblGrid>
      <w:tr w:rsidR="0011237E" w:rsidTr="00AF6B90">
        <w:trPr>
          <w:trHeight w:val="295"/>
        </w:trPr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11237E" w:rsidRDefault="0011237E" w:rsidP="00AF6B90">
            <w:pPr>
              <w:spacing w:line="0" w:lineRule="atLeast"/>
              <w:jc w:val="center"/>
              <w:rPr>
                <w:rFonts w:ascii="Arial" w:eastAsia="Arial" w:hAnsi="Arial"/>
                <w:b/>
                <w:sz w:val="23"/>
                <w:shd w:val="clear" w:color="auto" w:fill="E2EFD9"/>
              </w:rPr>
            </w:pPr>
            <w:r>
              <w:rPr>
                <w:rFonts w:ascii="Arial" w:eastAsia="Arial" w:hAnsi="Arial"/>
                <w:b/>
                <w:sz w:val="23"/>
                <w:shd w:val="clear" w:color="auto" w:fill="E2EFD9"/>
              </w:rPr>
              <w:t>SNO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11237E" w:rsidRDefault="0011237E" w:rsidP="00AF6B90">
            <w:pPr>
              <w:spacing w:line="0" w:lineRule="atLeast"/>
              <w:ind w:left="28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Grade</w:t>
            </w:r>
          </w:p>
        </w:tc>
        <w:tc>
          <w:tcPr>
            <w:tcW w:w="3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11237E" w:rsidRDefault="0011237E" w:rsidP="00AF6B90">
            <w:pPr>
              <w:spacing w:line="0" w:lineRule="atLeast"/>
              <w:ind w:left="50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Description of Complaint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11237E" w:rsidRDefault="0011237E" w:rsidP="00AF6B90">
            <w:pPr>
              <w:spacing w:line="0" w:lineRule="atLeast"/>
              <w:ind w:left="42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Nature of Compliance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237E" w:rsidTr="00AF6B90">
        <w:trPr>
          <w:trHeight w:val="277"/>
        </w:trPr>
        <w:tc>
          <w:tcPr>
            <w:tcW w:w="70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ind w:left="10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Following the Rules and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237E" w:rsidTr="00AF6B90">
        <w:trPr>
          <w:trHeight w:val="288"/>
        </w:trPr>
        <w:tc>
          <w:tcPr>
            <w:tcW w:w="70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vMerge w:val="restart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ind w:left="10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100% compliance by the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ind w:left="10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Regulation given by the IBVA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237E" w:rsidTr="00AF6B90">
        <w:trPr>
          <w:trHeight w:val="142"/>
        </w:trPr>
        <w:tc>
          <w:tcPr>
            <w:tcW w:w="700" w:type="dxa"/>
            <w:vMerge w:val="restart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jc w:val="center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1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ind w:left="10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Grade A</w:t>
            </w:r>
          </w:p>
        </w:tc>
        <w:tc>
          <w:tcPr>
            <w:tcW w:w="3800" w:type="dxa"/>
            <w:vMerge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vMerge w:val="restart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ind w:left="10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RVO from time to time and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1237E" w:rsidTr="00AF6B90">
        <w:trPr>
          <w:trHeight w:val="144"/>
        </w:trPr>
        <w:tc>
          <w:tcPr>
            <w:tcW w:w="700" w:type="dxa"/>
            <w:vMerge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vMerge w:val="restart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ind w:left="10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Valuers – Fully Compliance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1237E" w:rsidTr="00AF6B90">
        <w:trPr>
          <w:trHeight w:val="144"/>
        </w:trPr>
        <w:tc>
          <w:tcPr>
            <w:tcW w:w="70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vMerge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vMerge w:val="restart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ind w:left="10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other regulations of IBBI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1237E" w:rsidTr="00AF6B90">
        <w:trPr>
          <w:trHeight w:val="144"/>
        </w:trPr>
        <w:tc>
          <w:tcPr>
            <w:tcW w:w="70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1237E" w:rsidTr="00AF6B90">
        <w:trPr>
          <w:trHeight w:val="284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ind w:left="10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regularly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237E" w:rsidTr="00AF6B90">
        <w:trPr>
          <w:trHeight w:val="277"/>
        </w:trPr>
        <w:tc>
          <w:tcPr>
            <w:tcW w:w="70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ind w:left="10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Less than Average or Delay in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ind w:left="10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Delay in submission by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237E" w:rsidTr="00AF6B90">
        <w:trPr>
          <w:trHeight w:val="288"/>
        </w:trPr>
        <w:tc>
          <w:tcPr>
            <w:tcW w:w="70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jc w:val="center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ind w:left="10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Grade B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ind w:left="10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Submission by the Registered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ind w:left="10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members for the reports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237E" w:rsidTr="00AF6B90">
        <w:trPr>
          <w:trHeight w:val="284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ind w:left="10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Valuers– Average Compliance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ind w:left="10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required by the Bye Law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237E" w:rsidTr="00AF6B90">
        <w:trPr>
          <w:trHeight w:val="277"/>
        </w:trPr>
        <w:tc>
          <w:tcPr>
            <w:tcW w:w="70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ind w:left="10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Never Comply with the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237E" w:rsidTr="00AF6B90">
        <w:trPr>
          <w:trHeight w:val="288"/>
        </w:trPr>
        <w:tc>
          <w:tcPr>
            <w:tcW w:w="700" w:type="dxa"/>
            <w:vMerge w:val="restart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jc w:val="center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3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ind w:left="10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Grade C</w:t>
            </w:r>
          </w:p>
        </w:tc>
        <w:tc>
          <w:tcPr>
            <w:tcW w:w="3800" w:type="dxa"/>
            <w:vMerge w:val="restart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ind w:left="10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Non Compliance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ind w:left="10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rules and regulations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237E" w:rsidTr="00AF6B90">
        <w:trPr>
          <w:trHeight w:val="142"/>
        </w:trPr>
        <w:tc>
          <w:tcPr>
            <w:tcW w:w="700" w:type="dxa"/>
            <w:vMerge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vMerge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vMerge w:val="restart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ind w:left="10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required by the Registered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1237E" w:rsidTr="00AF6B90">
        <w:trPr>
          <w:trHeight w:val="144"/>
        </w:trPr>
        <w:tc>
          <w:tcPr>
            <w:tcW w:w="70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1237E" w:rsidRDefault="0011237E" w:rsidP="00AF6B9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11237E" w:rsidRDefault="0011237E" w:rsidP="0011237E">
      <w:pPr>
        <w:spacing w:line="9" w:lineRule="exact"/>
        <w:rPr>
          <w:rFonts w:ascii="Times New Roman" w:eastAsia="Times New Roman" w:hAnsi="Times New Roman"/>
        </w:rPr>
      </w:pPr>
    </w:p>
    <w:p w:rsidR="0011237E" w:rsidRDefault="0011237E" w:rsidP="0011237E">
      <w:pPr>
        <w:spacing w:line="0" w:lineRule="atLeast"/>
        <w:ind w:left="592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Valuers.</w:t>
      </w:r>
    </w:p>
    <w:p w:rsidR="0011237E" w:rsidRDefault="0011237E" w:rsidP="0011237E">
      <w:pPr>
        <w:spacing w:line="200" w:lineRule="exact"/>
        <w:rPr>
          <w:rFonts w:ascii="Times New Roman" w:eastAsia="Times New Roman" w:hAnsi="Times New Roman"/>
        </w:rPr>
      </w:pPr>
    </w:p>
    <w:p w:rsidR="0011237E" w:rsidRDefault="0011237E" w:rsidP="0011237E">
      <w:pPr>
        <w:spacing w:line="200" w:lineRule="exact"/>
        <w:rPr>
          <w:rFonts w:ascii="Times New Roman" w:eastAsia="Times New Roman" w:hAnsi="Times New Roman"/>
        </w:rPr>
      </w:pPr>
    </w:p>
    <w:p w:rsidR="0011237E" w:rsidRDefault="0011237E" w:rsidP="0011237E">
      <w:pPr>
        <w:spacing w:line="387" w:lineRule="exact"/>
        <w:rPr>
          <w:rFonts w:ascii="Times New Roman" w:eastAsia="Times New Roman" w:hAnsi="Times New Roman"/>
        </w:rPr>
      </w:pPr>
    </w:p>
    <w:p w:rsidR="0011237E" w:rsidRDefault="0011237E" w:rsidP="00932342">
      <w:pPr>
        <w:spacing w:line="0" w:lineRule="atLeast"/>
        <w:ind w:left="100"/>
        <w:rPr>
          <w:rFonts w:ascii="Arial" w:eastAsia="Arial" w:hAnsi="Arial"/>
          <w:b/>
          <w:color w:val="E36C0A" w:themeColor="accent6" w:themeShade="BF"/>
          <w:sz w:val="23"/>
        </w:rPr>
      </w:pPr>
      <w:r w:rsidRPr="00DF2BA6">
        <w:rPr>
          <w:rFonts w:ascii="Arial" w:eastAsia="Arial" w:hAnsi="Arial"/>
          <w:b/>
          <w:color w:val="E36C0A" w:themeColor="accent6" w:themeShade="BF"/>
          <w:sz w:val="23"/>
        </w:rPr>
        <w:t>PROCEDURE FOR INSPECTION</w:t>
      </w:r>
    </w:p>
    <w:p w:rsidR="00932342" w:rsidRPr="00932342" w:rsidRDefault="00932342" w:rsidP="00932342">
      <w:pPr>
        <w:spacing w:line="0" w:lineRule="atLeast"/>
        <w:ind w:left="100"/>
        <w:rPr>
          <w:rFonts w:ascii="Arial" w:eastAsia="Arial" w:hAnsi="Arial"/>
          <w:b/>
          <w:color w:val="E36C0A" w:themeColor="accent6" w:themeShade="BF"/>
          <w:sz w:val="23"/>
        </w:rPr>
      </w:pPr>
    </w:p>
    <w:p w:rsidR="0011237E" w:rsidRDefault="0011237E" w:rsidP="0011237E">
      <w:pPr>
        <w:spacing w:line="2" w:lineRule="exact"/>
        <w:rPr>
          <w:rFonts w:ascii="Arial" w:eastAsia="Arial" w:hAnsi="Arial"/>
          <w:b/>
          <w:color w:val="C00000"/>
          <w:sz w:val="23"/>
        </w:rPr>
      </w:pPr>
    </w:p>
    <w:p w:rsidR="0011237E" w:rsidRPr="00932342" w:rsidRDefault="0011237E" w:rsidP="00932342">
      <w:pPr>
        <w:spacing w:line="0" w:lineRule="atLeast"/>
        <w:jc w:val="both"/>
        <w:rPr>
          <w:rFonts w:ascii="Arial" w:eastAsia="Arial" w:hAnsi="Arial"/>
          <w:b/>
          <w:sz w:val="24"/>
        </w:rPr>
      </w:pPr>
      <w:r w:rsidRPr="00932342">
        <w:rPr>
          <w:rFonts w:ascii="Arial" w:eastAsia="Arial" w:hAnsi="Arial"/>
          <w:b/>
          <w:sz w:val="24"/>
        </w:rPr>
        <w:t>Members will be selected based on the grade (Compliance status) and</w:t>
      </w:r>
      <w:r w:rsidR="00932342">
        <w:rPr>
          <w:rFonts w:ascii="Arial" w:eastAsia="Arial" w:hAnsi="Arial"/>
          <w:b/>
          <w:sz w:val="24"/>
        </w:rPr>
        <w:t xml:space="preserve"> would be</w:t>
      </w:r>
      <w:r w:rsidRPr="00932342">
        <w:rPr>
          <w:rFonts w:ascii="Arial" w:eastAsia="Arial" w:hAnsi="Arial"/>
          <w:b/>
          <w:sz w:val="24"/>
        </w:rPr>
        <w:t xml:space="preserve"> inspected periodically.  </w:t>
      </w:r>
      <w:r w:rsidR="00932342">
        <w:rPr>
          <w:rFonts w:ascii="Arial" w:eastAsia="Arial" w:hAnsi="Arial"/>
          <w:b/>
          <w:sz w:val="24"/>
        </w:rPr>
        <w:t xml:space="preserve">A </w:t>
      </w:r>
      <w:r w:rsidRPr="00932342">
        <w:rPr>
          <w:rFonts w:ascii="Arial" w:eastAsia="Arial" w:hAnsi="Arial"/>
          <w:b/>
          <w:sz w:val="24"/>
        </w:rPr>
        <w:t xml:space="preserve">records related to their assignment </w:t>
      </w:r>
      <w:r w:rsidR="00932342">
        <w:rPr>
          <w:rFonts w:ascii="Arial" w:eastAsia="Arial" w:hAnsi="Arial"/>
          <w:b/>
          <w:sz w:val="24"/>
        </w:rPr>
        <w:t xml:space="preserve">of the </w:t>
      </w:r>
      <w:proofErr w:type="gramStart"/>
      <w:r w:rsidR="00932342">
        <w:rPr>
          <w:rFonts w:ascii="Arial" w:eastAsia="Arial" w:hAnsi="Arial"/>
          <w:b/>
          <w:sz w:val="24"/>
        </w:rPr>
        <w:t xml:space="preserve">Registered  </w:t>
      </w:r>
      <w:proofErr w:type="spellStart"/>
      <w:r w:rsidR="00932342">
        <w:rPr>
          <w:rFonts w:ascii="Arial" w:eastAsia="Arial" w:hAnsi="Arial"/>
          <w:b/>
          <w:sz w:val="24"/>
        </w:rPr>
        <w:t>Valuer</w:t>
      </w:r>
      <w:proofErr w:type="spellEnd"/>
      <w:proofErr w:type="gramEnd"/>
      <w:r w:rsidR="00932342">
        <w:rPr>
          <w:rFonts w:ascii="Arial" w:eastAsia="Arial" w:hAnsi="Arial"/>
          <w:b/>
          <w:sz w:val="24"/>
        </w:rPr>
        <w:t xml:space="preserve"> </w:t>
      </w:r>
      <w:r w:rsidRPr="00932342">
        <w:rPr>
          <w:rFonts w:ascii="Arial" w:eastAsia="Arial" w:hAnsi="Arial"/>
          <w:b/>
          <w:sz w:val="24"/>
        </w:rPr>
        <w:t>will be inspected.</w:t>
      </w:r>
    </w:p>
    <w:p w:rsidR="0011237E" w:rsidRPr="0011237E" w:rsidRDefault="0011237E" w:rsidP="0011237E">
      <w:pPr>
        <w:pStyle w:val="ListParagraph"/>
        <w:spacing w:line="0" w:lineRule="atLeast"/>
        <w:ind w:left="2160"/>
        <w:jc w:val="both"/>
        <w:rPr>
          <w:rFonts w:ascii="Arial" w:eastAsia="Arial" w:hAnsi="Arial"/>
          <w:b/>
          <w:sz w:val="24"/>
        </w:rPr>
      </w:pPr>
    </w:p>
    <w:p w:rsidR="0011237E" w:rsidRDefault="0011237E" w:rsidP="0011237E">
      <w:pPr>
        <w:spacing w:line="2" w:lineRule="exact"/>
        <w:rPr>
          <w:rFonts w:ascii="Times New Roman" w:eastAsia="Times New Roman" w:hAnsi="Times New Roman"/>
        </w:rPr>
      </w:pPr>
    </w:p>
    <w:p w:rsidR="0011237E" w:rsidRDefault="0011237E" w:rsidP="0011237E">
      <w:pPr>
        <w:spacing w:line="0" w:lineRule="atLeast"/>
        <w:ind w:left="116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The Inspection mainly covers the following</w:t>
      </w:r>
    </w:p>
    <w:p w:rsidR="0011237E" w:rsidRDefault="0011237E" w:rsidP="0011237E">
      <w:pPr>
        <w:spacing w:line="165" w:lineRule="exact"/>
        <w:rPr>
          <w:rFonts w:ascii="Times New Roman" w:eastAsia="Times New Roman" w:hAnsi="Times New Roman"/>
        </w:rPr>
      </w:pPr>
    </w:p>
    <w:p w:rsidR="0011237E" w:rsidRDefault="0011237E" w:rsidP="0011237E">
      <w:pPr>
        <w:numPr>
          <w:ilvl w:val="0"/>
          <w:numId w:val="6"/>
        </w:numPr>
        <w:tabs>
          <w:tab w:val="left" w:pos="1860"/>
        </w:tabs>
        <w:spacing w:line="389" w:lineRule="auto"/>
        <w:ind w:left="1860" w:hanging="357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Registered Valuers Office and infrastructure available and level of training to their staffs and their standard of working.</w:t>
      </w:r>
    </w:p>
    <w:p w:rsidR="0011237E" w:rsidRDefault="0011237E" w:rsidP="0011237E">
      <w:pPr>
        <w:spacing w:line="1" w:lineRule="exact"/>
        <w:rPr>
          <w:rFonts w:ascii="Arial" w:eastAsia="Arial" w:hAnsi="Arial"/>
          <w:b/>
          <w:sz w:val="23"/>
        </w:rPr>
      </w:pPr>
    </w:p>
    <w:p w:rsidR="0011237E" w:rsidRDefault="0011237E" w:rsidP="0011237E">
      <w:pPr>
        <w:numPr>
          <w:ilvl w:val="0"/>
          <w:numId w:val="6"/>
        </w:numPr>
        <w:tabs>
          <w:tab w:val="left" w:pos="1860"/>
        </w:tabs>
        <w:spacing w:line="401" w:lineRule="auto"/>
        <w:ind w:left="1860" w:hanging="357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RV’s compliance with code, bye laws and other standards prescribed by</w:t>
      </w:r>
      <w:r w:rsidR="00932342">
        <w:rPr>
          <w:rFonts w:ascii="Arial" w:eastAsia="Arial" w:hAnsi="Arial"/>
          <w:b/>
          <w:sz w:val="23"/>
        </w:rPr>
        <w:t xml:space="preserve"> the</w:t>
      </w:r>
      <w:r>
        <w:rPr>
          <w:rFonts w:ascii="Arial" w:eastAsia="Arial" w:hAnsi="Arial"/>
          <w:b/>
          <w:sz w:val="23"/>
        </w:rPr>
        <w:t xml:space="preserve"> RVO.</w:t>
      </w:r>
    </w:p>
    <w:p w:rsidR="0011237E" w:rsidRDefault="0011237E" w:rsidP="0011237E">
      <w:pPr>
        <w:pStyle w:val="ListParagraph"/>
        <w:rPr>
          <w:rFonts w:ascii="Arial" w:eastAsia="Arial" w:hAnsi="Arial"/>
          <w:b/>
          <w:sz w:val="23"/>
        </w:rPr>
      </w:pPr>
    </w:p>
    <w:p w:rsidR="0011237E" w:rsidRDefault="0011237E" w:rsidP="0011237E">
      <w:pPr>
        <w:numPr>
          <w:ilvl w:val="0"/>
          <w:numId w:val="6"/>
        </w:numPr>
        <w:tabs>
          <w:tab w:val="left" w:pos="1860"/>
        </w:tabs>
        <w:spacing w:line="401" w:lineRule="auto"/>
        <w:ind w:left="1860" w:hanging="357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Compliance to Valuation Standards, </w:t>
      </w:r>
      <w:r w:rsidR="00BC605A">
        <w:rPr>
          <w:rFonts w:ascii="Arial" w:eastAsia="Arial" w:hAnsi="Arial"/>
          <w:b/>
          <w:sz w:val="23"/>
        </w:rPr>
        <w:t>method of conducting valuation and engagements to their reporting including quality of reporting.</w:t>
      </w:r>
    </w:p>
    <w:p w:rsidR="00404C6A" w:rsidRDefault="00404C6A" w:rsidP="00404C6A">
      <w:pPr>
        <w:pStyle w:val="ListParagraph"/>
        <w:rPr>
          <w:rFonts w:ascii="Arial" w:eastAsia="Arial" w:hAnsi="Arial"/>
          <w:b/>
          <w:sz w:val="23"/>
        </w:rPr>
      </w:pPr>
    </w:p>
    <w:p w:rsidR="00404C6A" w:rsidRDefault="00404C6A" w:rsidP="00404C6A">
      <w:pPr>
        <w:tabs>
          <w:tab w:val="left" w:pos="1860"/>
        </w:tabs>
        <w:spacing w:line="401" w:lineRule="auto"/>
        <w:rPr>
          <w:rFonts w:ascii="Arial" w:eastAsia="Arial" w:hAnsi="Arial"/>
          <w:b/>
          <w:sz w:val="23"/>
        </w:rPr>
      </w:pPr>
    </w:p>
    <w:p w:rsidR="00404C6A" w:rsidRDefault="00404C6A" w:rsidP="00404C6A">
      <w:pPr>
        <w:tabs>
          <w:tab w:val="left" w:pos="1860"/>
        </w:tabs>
        <w:spacing w:line="401" w:lineRule="auto"/>
        <w:rPr>
          <w:rFonts w:ascii="Arial" w:eastAsia="Arial" w:hAnsi="Arial"/>
          <w:b/>
          <w:sz w:val="23"/>
        </w:rPr>
      </w:pPr>
    </w:p>
    <w:p w:rsidR="00404C6A" w:rsidRDefault="00404C6A" w:rsidP="00404C6A">
      <w:pPr>
        <w:tabs>
          <w:tab w:val="left" w:pos="1860"/>
        </w:tabs>
        <w:spacing w:line="401" w:lineRule="auto"/>
        <w:rPr>
          <w:rFonts w:ascii="Arial" w:eastAsia="Arial" w:hAnsi="Arial"/>
          <w:b/>
          <w:sz w:val="23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85"/>
        <w:gridCol w:w="3155"/>
        <w:gridCol w:w="5220"/>
      </w:tblGrid>
      <w:tr w:rsidR="00BC605A" w:rsidTr="00757C60">
        <w:trPr>
          <w:jc w:val="center"/>
        </w:trPr>
        <w:tc>
          <w:tcPr>
            <w:tcW w:w="985" w:type="dxa"/>
            <w:vAlign w:val="center"/>
          </w:tcPr>
          <w:p w:rsidR="00BC605A" w:rsidRDefault="00F27575" w:rsidP="00E80CD6">
            <w:pPr>
              <w:pStyle w:val="ListParagraph"/>
              <w:ind w:left="0"/>
              <w:jc w:val="center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lastRenderedPageBreak/>
              <w:t>S. No.</w:t>
            </w:r>
          </w:p>
        </w:tc>
        <w:tc>
          <w:tcPr>
            <w:tcW w:w="3155" w:type="dxa"/>
            <w:vAlign w:val="center"/>
          </w:tcPr>
          <w:p w:rsidR="00BC605A" w:rsidRDefault="00F27575" w:rsidP="00757C60">
            <w:pPr>
              <w:pStyle w:val="ListParagraph"/>
              <w:ind w:left="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Procedure</w:t>
            </w:r>
          </w:p>
        </w:tc>
        <w:tc>
          <w:tcPr>
            <w:tcW w:w="5220" w:type="dxa"/>
            <w:vAlign w:val="center"/>
          </w:tcPr>
          <w:p w:rsidR="00BC605A" w:rsidRDefault="00F27575" w:rsidP="00E80CD6">
            <w:pPr>
              <w:pStyle w:val="ListParagraph"/>
              <w:ind w:left="0"/>
              <w:jc w:val="center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Requirements</w:t>
            </w:r>
          </w:p>
        </w:tc>
      </w:tr>
      <w:tr w:rsidR="00BC605A" w:rsidTr="00757C60">
        <w:trPr>
          <w:jc w:val="center"/>
        </w:trPr>
        <w:tc>
          <w:tcPr>
            <w:tcW w:w="985" w:type="dxa"/>
            <w:vAlign w:val="center"/>
          </w:tcPr>
          <w:p w:rsidR="00BC605A" w:rsidRDefault="00F27575" w:rsidP="00924494">
            <w:pPr>
              <w:pStyle w:val="ListParagraph"/>
              <w:ind w:left="0"/>
              <w:jc w:val="center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1.</w:t>
            </w:r>
          </w:p>
        </w:tc>
        <w:tc>
          <w:tcPr>
            <w:tcW w:w="3155" w:type="dxa"/>
            <w:vAlign w:val="center"/>
          </w:tcPr>
          <w:p w:rsidR="00DF2BA6" w:rsidRPr="00F27575" w:rsidRDefault="00DF2BA6" w:rsidP="00757C6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F27575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Formation of Committee</w:t>
            </w:r>
            <w:r w:rsidR="00F27575" w:rsidRPr="00F27575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27575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&amp;</w:t>
            </w:r>
          </w:p>
          <w:p w:rsidR="00BC605A" w:rsidRPr="00F27575" w:rsidRDefault="00DF2BA6" w:rsidP="00757C60">
            <w:pPr>
              <w:pStyle w:val="ListParagraph"/>
              <w:ind w:left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F27575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Responsibilities</w:t>
            </w:r>
          </w:p>
        </w:tc>
        <w:tc>
          <w:tcPr>
            <w:tcW w:w="5220" w:type="dxa"/>
          </w:tcPr>
          <w:p w:rsidR="00BC605A" w:rsidRPr="00F27575" w:rsidRDefault="00404C6A" w:rsidP="00E1643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</w:rPr>
              <w:t>C</w:t>
            </w:r>
            <w:r w:rsidR="00BC605A" w:rsidRPr="00F27575">
              <w:rPr>
                <w:rFonts w:asciiTheme="minorHAnsi" w:eastAsiaTheme="minorHAnsi" w:hAnsiTheme="minorHAnsi" w:cstheme="minorHAnsi"/>
                <w:sz w:val="23"/>
                <w:szCs w:val="23"/>
              </w:rPr>
              <w:t>ommittee formed by the IBVA from time to time from committee memb</w:t>
            </w:r>
            <w:r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er, Board Member, officer of IBBI, </w:t>
            </w:r>
            <w:proofErr w:type="spellStart"/>
            <w:r w:rsidR="00BC605A" w:rsidRPr="00F27575">
              <w:rPr>
                <w:rFonts w:asciiTheme="minorHAnsi" w:eastAsiaTheme="minorHAnsi" w:hAnsiTheme="minorHAnsi" w:cstheme="minorHAnsi"/>
                <w:sz w:val="23"/>
                <w:szCs w:val="23"/>
              </w:rPr>
              <w:t>valuer</w:t>
            </w:r>
            <w:proofErr w:type="spellEnd"/>
            <w:r w:rsidR="00BC605A" w:rsidRPr="00F27575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from the IBVA will be advised to carry out the inspection. The inspection will be carried</w:t>
            </w:r>
            <w:r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by a committee consisting of</w:t>
            </w:r>
            <w:r w:rsidR="00BC605A" w:rsidRPr="00F27575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only 3</w:t>
            </w:r>
            <w:r w:rsidR="00F27575" w:rsidRPr="00F27575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3"/>
                <w:szCs w:val="23"/>
              </w:rPr>
              <w:t>members</w:t>
            </w:r>
            <w:r w:rsidR="00BC605A" w:rsidRPr="00F27575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. The report shall be submitted </w:t>
            </w:r>
            <w:r w:rsidR="00542BBA">
              <w:rPr>
                <w:rFonts w:asciiTheme="minorHAnsi" w:eastAsiaTheme="minorHAnsi" w:hAnsiTheme="minorHAnsi" w:cstheme="minorHAnsi"/>
                <w:sz w:val="23"/>
                <w:szCs w:val="23"/>
              </w:rPr>
              <w:t>by the committee.</w:t>
            </w:r>
          </w:p>
          <w:p w:rsidR="00BC605A" w:rsidRPr="00F27575" w:rsidRDefault="00BC605A" w:rsidP="00E1643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  <w:p w:rsidR="00BC605A" w:rsidRPr="00F27575" w:rsidRDefault="00BC605A" w:rsidP="00E1643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F27575">
              <w:rPr>
                <w:rFonts w:asciiTheme="minorHAnsi" w:eastAsiaTheme="minorHAnsi" w:hAnsiTheme="minorHAnsi" w:cstheme="minorHAnsi"/>
                <w:sz w:val="23"/>
                <w:szCs w:val="23"/>
              </w:rPr>
              <w:t>The Committee to monitor the functions of the inspection and review monthly about the system</w:t>
            </w:r>
            <w:r w:rsidR="00EB4A34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Pr="00F27575">
              <w:rPr>
                <w:rFonts w:asciiTheme="minorHAnsi" w:eastAsiaTheme="minorHAnsi" w:hAnsiTheme="minorHAnsi" w:cstheme="minorHAnsi"/>
                <w:sz w:val="23"/>
                <w:szCs w:val="23"/>
              </w:rPr>
              <w:t>and upd</w:t>
            </w:r>
            <w:r w:rsidR="00511512">
              <w:rPr>
                <w:rFonts w:asciiTheme="minorHAnsi" w:eastAsiaTheme="minorHAnsi" w:hAnsiTheme="minorHAnsi" w:cstheme="minorHAnsi"/>
                <w:sz w:val="23"/>
                <w:szCs w:val="23"/>
              </w:rPr>
              <w:t>ate the same and submit to the B</w:t>
            </w:r>
            <w:r w:rsidRPr="00F27575">
              <w:rPr>
                <w:rFonts w:asciiTheme="minorHAnsi" w:eastAsiaTheme="minorHAnsi" w:hAnsiTheme="minorHAnsi" w:cstheme="minorHAnsi"/>
                <w:sz w:val="23"/>
                <w:szCs w:val="23"/>
              </w:rPr>
              <w:t>oard with their recommendations.</w:t>
            </w:r>
          </w:p>
        </w:tc>
      </w:tr>
      <w:tr w:rsidR="00275335" w:rsidTr="00757C60">
        <w:trPr>
          <w:trHeight w:val="107"/>
          <w:jc w:val="center"/>
        </w:trPr>
        <w:tc>
          <w:tcPr>
            <w:tcW w:w="985" w:type="dxa"/>
            <w:vAlign w:val="center"/>
          </w:tcPr>
          <w:p w:rsidR="00275335" w:rsidRDefault="00F27575" w:rsidP="00433F8A">
            <w:pPr>
              <w:pStyle w:val="ListParagraph"/>
              <w:ind w:left="0"/>
              <w:jc w:val="center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2.</w:t>
            </w:r>
          </w:p>
        </w:tc>
        <w:tc>
          <w:tcPr>
            <w:tcW w:w="3155" w:type="dxa"/>
            <w:vAlign w:val="center"/>
          </w:tcPr>
          <w:p w:rsidR="00275335" w:rsidRPr="00F27575" w:rsidRDefault="00DF2BA6" w:rsidP="00757C60">
            <w:pPr>
              <w:pStyle w:val="ListParagraph"/>
              <w:ind w:left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F27575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Selection of Inspection Team</w:t>
            </w:r>
          </w:p>
        </w:tc>
        <w:tc>
          <w:tcPr>
            <w:tcW w:w="5220" w:type="dxa"/>
            <w:vAlign w:val="center"/>
          </w:tcPr>
          <w:p w:rsidR="00275335" w:rsidRPr="00F27575" w:rsidRDefault="00275335" w:rsidP="00E16436">
            <w:pPr>
              <w:spacing w:line="0" w:lineRule="atLeast"/>
              <w:jc w:val="both"/>
              <w:rPr>
                <w:rFonts w:asciiTheme="minorHAnsi" w:eastAsia="Arial" w:hAnsiTheme="minorHAnsi" w:cstheme="minorHAnsi"/>
                <w:sz w:val="23"/>
              </w:rPr>
            </w:pPr>
            <w:r w:rsidRPr="00F27575">
              <w:rPr>
                <w:rFonts w:asciiTheme="minorHAnsi" w:eastAsia="Arial" w:hAnsiTheme="minorHAnsi" w:cstheme="minorHAnsi"/>
                <w:sz w:val="23"/>
              </w:rPr>
              <w:t xml:space="preserve">The Team will be selected by the </w:t>
            </w:r>
            <w:r w:rsidR="00A01796">
              <w:rPr>
                <w:rFonts w:asciiTheme="minorHAnsi" w:eastAsia="Arial" w:hAnsiTheme="minorHAnsi" w:cstheme="minorHAnsi"/>
                <w:sz w:val="23"/>
              </w:rPr>
              <w:t>committee.</w:t>
            </w:r>
          </w:p>
        </w:tc>
      </w:tr>
      <w:tr w:rsidR="00275335" w:rsidTr="00757C60">
        <w:trPr>
          <w:jc w:val="center"/>
        </w:trPr>
        <w:tc>
          <w:tcPr>
            <w:tcW w:w="985" w:type="dxa"/>
            <w:vAlign w:val="center"/>
          </w:tcPr>
          <w:p w:rsidR="00275335" w:rsidRDefault="00F27575" w:rsidP="00433F8A">
            <w:pPr>
              <w:pStyle w:val="ListParagraph"/>
              <w:ind w:left="0"/>
              <w:jc w:val="center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3.</w:t>
            </w:r>
          </w:p>
        </w:tc>
        <w:tc>
          <w:tcPr>
            <w:tcW w:w="3155" w:type="dxa"/>
            <w:vAlign w:val="center"/>
          </w:tcPr>
          <w:p w:rsidR="00275335" w:rsidRPr="00F27575" w:rsidRDefault="00DF2BA6" w:rsidP="00757C60">
            <w:pPr>
              <w:pStyle w:val="ListParagraph"/>
              <w:ind w:left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F27575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Responsibilities of Team</w:t>
            </w:r>
          </w:p>
        </w:tc>
        <w:tc>
          <w:tcPr>
            <w:tcW w:w="5220" w:type="dxa"/>
            <w:vAlign w:val="bottom"/>
          </w:tcPr>
          <w:p w:rsidR="00275335" w:rsidRPr="00F27575" w:rsidRDefault="00275335" w:rsidP="00E1643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F27575">
              <w:rPr>
                <w:rFonts w:asciiTheme="minorHAnsi" w:eastAsiaTheme="minorHAnsi" w:hAnsiTheme="minorHAnsi" w:cstheme="minorHAnsi"/>
                <w:sz w:val="23"/>
                <w:szCs w:val="23"/>
              </w:rPr>
              <w:t>The team shall submit report without</w:t>
            </w:r>
            <w:r w:rsidR="00F27575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Pr="00F27575">
              <w:rPr>
                <w:rFonts w:asciiTheme="minorHAnsi" w:eastAsiaTheme="minorHAnsi" w:hAnsiTheme="minorHAnsi" w:cstheme="minorHAnsi"/>
                <w:sz w:val="23"/>
                <w:szCs w:val="23"/>
              </w:rPr>
              <w:t>any bias and within 15</w:t>
            </w:r>
            <w:r w:rsidR="00F27575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days from the </w:t>
            </w:r>
            <w:r w:rsidRPr="00F27575">
              <w:rPr>
                <w:rFonts w:asciiTheme="minorHAnsi" w:eastAsiaTheme="minorHAnsi" w:hAnsiTheme="minorHAnsi" w:cstheme="minorHAnsi"/>
                <w:sz w:val="23"/>
                <w:szCs w:val="23"/>
              </w:rPr>
              <w:t>date of completion of inspection.</w:t>
            </w:r>
          </w:p>
          <w:p w:rsidR="00275335" w:rsidRPr="00F27575" w:rsidRDefault="00EB4A34" w:rsidP="00E1643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The team shall not show any </w:t>
            </w:r>
            <w:r w:rsidR="00275335" w:rsidRPr="00F27575">
              <w:rPr>
                <w:rFonts w:asciiTheme="minorHAnsi" w:eastAsiaTheme="minorHAnsi" w:hAnsiTheme="minorHAnsi" w:cstheme="minorHAnsi"/>
                <w:sz w:val="23"/>
                <w:szCs w:val="23"/>
              </w:rPr>
              <w:t>favourism to any RV member.</w:t>
            </w:r>
          </w:p>
          <w:p w:rsidR="00275335" w:rsidRPr="00EB4A34" w:rsidRDefault="00275335" w:rsidP="00E1643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F27575">
              <w:rPr>
                <w:rFonts w:asciiTheme="minorHAnsi" w:eastAsiaTheme="minorHAnsi" w:hAnsiTheme="minorHAnsi" w:cstheme="minorHAnsi"/>
                <w:sz w:val="23"/>
                <w:szCs w:val="23"/>
              </w:rPr>
              <w:t>Th</w:t>
            </w:r>
            <w:r w:rsidR="00EB4A34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e team has do the inspection as </w:t>
            </w:r>
            <w:r w:rsidRPr="00F27575">
              <w:rPr>
                <w:rFonts w:asciiTheme="minorHAnsi" w:eastAsiaTheme="minorHAnsi" w:hAnsiTheme="minorHAnsi" w:cstheme="minorHAnsi"/>
                <w:sz w:val="23"/>
                <w:szCs w:val="23"/>
              </w:rPr>
              <w:t>per the guide line provided.</w:t>
            </w:r>
          </w:p>
        </w:tc>
      </w:tr>
      <w:tr w:rsidR="00275335" w:rsidTr="00757C60">
        <w:trPr>
          <w:jc w:val="center"/>
        </w:trPr>
        <w:tc>
          <w:tcPr>
            <w:tcW w:w="985" w:type="dxa"/>
            <w:vAlign w:val="center"/>
          </w:tcPr>
          <w:p w:rsidR="00275335" w:rsidRDefault="00F27575" w:rsidP="009319A7">
            <w:pPr>
              <w:pStyle w:val="ListParagraph"/>
              <w:ind w:left="0"/>
              <w:jc w:val="center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4.</w:t>
            </w:r>
          </w:p>
        </w:tc>
        <w:tc>
          <w:tcPr>
            <w:tcW w:w="3155" w:type="dxa"/>
            <w:vAlign w:val="center"/>
          </w:tcPr>
          <w:p w:rsidR="00275335" w:rsidRPr="00F27575" w:rsidRDefault="00433F8A" w:rsidP="00757C60">
            <w:pPr>
              <w:pStyle w:val="ListParagraph"/>
              <w:ind w:left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Main Coverage</w:t>
            </w:r>
          </w:p>
        </w:tc>
        <w:tc>
          <w:tcPr>
            <w:tcW w:w="5220" w:type="dxa"/>
            <w:vAlign w:val="bottom"/>
          </w:tcPr>
          <w:p w:rsidR="00275335" w:rsidRPr="009732A6" w:rsidRDefault="00275335" w:rsidP="00E1643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The main aim of the inspection is</w:t>
            </w:r>
            <w:r w:rsidR="00EB4A34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 </w:t>
            </w:r>
            <w:r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to</w:t>
            </w:r>
            <w:r w:rsidR="00B730BB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c</w:t>
            </w:r>
            <w:r w:rsidR="00EB4A34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onduct inspection on</w:t>
            </w:r>
            <w:r w:rsidR="00B730BB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the</w:t>
            </w:r>
            <w:r w:rsidR="00EB4A34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registered </w:t>
            </w:r>
            <w:proofErr w:type="spellStart"/>
            <w:r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valuer</w:t>
            </w:r>
            <w:proofErr w:type="spellEnd"/>
            <w:r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services on valuation to their</w:t>
            </w:r>
            <w:r w:rsid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client under Companies Act 2013</w:t>
            </w:r>
            <w:r w:rsidR="00B730BB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/ IBC.</w:t>
            </w:r>
          </w:p>
          <w:p w:rsidR="00EB4A34" w:rsidRPr="009732A6" w:rsidRDefault="00EB4A34" w:rsidP="00E1643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  <w:p w:rsidR="00275335" w:rsidRPr="009732A6" w:rsidRDefault="00B730BB" w:rsidP="00E1643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</w:rPr>
              <w:t>The RV</w:t>
            </w:r>
            <w:r w:rsidR="00275335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s </w:t>
            </w:r>
            <w:proofErr w:type="gramStart"/>
            <w:r w:rsidR="00275335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are </w:t>
            </w:r>
            <w:r w:rsidR="00EB4A34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="00275335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expected</w:t>
            </w:r>
            <w:proofErr w:type="gramEnd"/>
            <w:r w:rsidR="00275335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="00EB4A34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="00275335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to</w:t>
            </w:r>
            <w:r w:rsidR="00EB4A34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="00275335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submit</w:t>
            </w:r>
            <w:r w:rsid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="00275335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periodical report to </w:t>
            </w:r>
            <w:r w:rsidR="00EB4A34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IBVA</w:t>
            </w:r>
            <w:r w:rsidR="00275335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, the</w:t>
            </w:r>
            <w:r w:rsidR="00EB4A34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="00275335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same records will be inspected.</w:t>
            </w:r>
          </w:p>
          <w:p w:rsidR="00275335" w:rsidRPr="009732A6" w:rsidRDefault="00275335" w:rsidP="00E16436">
            <w:pPr>
              <w:spacing w:line="0" w:lineRule="atLeast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  <w:p w:rsidR="00275335" w:rsidRPr="009732A6" w:rsidRDefault="00275335" w:rsidP="00E1643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Following are included for Inspection</w:t>
            </w:r>
          </w:p>
          <w:p w:rsidR="00275335" w:rsidRPr="009732A6" w:rsidRDefault="00275335" w:rsidP="00E164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Compliance to </w:t>
            </w:r>
            <w:r w:rsidR="009D14DE">
              <w:rPr>
                <w:rFonts w:asciiTheme="minorHAnsi" w:eastAsiaTheme="minorHAnsi" w:hAnsiTheme="minorHAnsi" w:cstheme="minorHAnsi"/>
                <w:sz w:val="23"/>
                <w:szCs w:val="23"/>
              </w:rPr>
              <w:t>V</w:t>
            </w:r>
            <w:r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aluation</w:t>
            </w:r>
            <w:r w:rsidR="00EB4A34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Standards</w:t>
            </w:r>
          </w:p>
          <w:p w:rsidR="00275335" w:rsidRPr="009732A6" w:rsidRDefault="009D14DE" w:rsidP="00E164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Compliance with </w:t>
            </w:r>
            <w:r w:rsidR="00275335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Bye laws, Rules</w:t>
            </w:r>
            <w:r w:rsidR="00EB4A34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="00275335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and regulations</w:t>
            </w:r>
          </w:p>
          <w:p w:rsidR="00275335" w:rsidRPr="009732A6" w:rsidRDefault="009D14DE" w:rsidP="00E164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</w:rPr>
              <w:t>Compliance with</w:t>
            </w:r>
            <w:r w:rsidR="00275335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Code</w:t>
            </w:r>
            <w:r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of</w:t>
            </w:r>
            <w:r w:rsidR="00275335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conduct</w:t>
            </w:r>
          </w:p>
          <w:p w:rsidR="00275335" w:rsidRPr="009732A6" w:rsidRDefault="00275335" w:rsidP="00E164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Method</w:t>
            </w:r>
            <w:r w:rsidR="009D14DE">
              <w:rPr>
                <w:rFonts w:asciiTheme="minorHAnsi" w:eastAsiaTheme="minorHAnsi" w:hAnsiTheme="minorHAnsi" w:cstheme="minorHAnsi"/>
                <w:sz w:val="23"/>
                <w:szCs w:val="23"/>
              </w:rPr>
              <w:t>s Procedures</w:t>
            </w:r>
            <w:r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and quality of reports</w:t>
            </w:r>
          </w:p>
          <w:p w:rsidR="00275335" w:rsidRPr="009732A6" w:rsidRDefault="00275335" w:rsidP="00E1643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Training attended and credit</w:t>
            </w:r>
            <w:r w:rsid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points earned during the</w:t>
            </w:r>
            <w:r w:rsid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financial year / during the</w:t>
            </w:r>
            <w:r w:rsid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period of inspection</w:t>
            </w:r>
            <w:r w:rsidRPr="009732A6">
              <w:rPr>
                <w:rFonts w:ascii="CIDFont+F4" w:eastAsiaTheme="minorHAnsi" w:hAnsi="CIDFont+F4" w:cs="CIDFont+F4"/>
                <w:sz w:val="23"/>
                <w:szCs w:val="23"/>
              </w:rPr>
              <w:t>.</w:t>
            </w:r>
          </w:p>
        </w:tc>
      </w:tr>
      <w:tr w:rsidR="00275335" w:rsidTr="00757C60">
        <w:trPr>
          <w:jc w:val="center"/>
        </w:trPr>
        <w:tc>
          <w:tcPr>
            <w:tcW w:w="985" w:type="dxa"/>
            <w:vAlign w:val="center"/>
          </w:tcPr>
          <w:p w:rsidR="00275335" w:rsidRDefault="00F27575" w:rsidP="00857EEE">
            <w:pPr>
              <w:pStyle w:val="ListParagraph"/>
              <w:ind w:left="0"/>
              <w:jc w:val="center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5.</w:t>
            </w:r>
          </w:p>
        </w:tc>
        <w:tc>
          <w:tcPr>
            <w:tcW w:w="3155" w:type="dxa"/>
            <w:vAlign w:val="center"/>
          </w:tcPr>
          <w:p w:rsidR="00275335" w:rsidRPr="00F27575" w:rsidRDefault="00DF2BA6" w:rsidP="00757C60">
            <w:pPr>
              <w:pStyle w:val="ListParagraph"/>
              <w:ind w:left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F27575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Periodical Inspection</w:t>
            </w:r>
          </w:p>
        </w:tc>
        <w:tc>
          <w:tcPr>
            <w:tcW w:w="5220" w:type="dxa"/>
          </w:tcPr>
          <w:p w:rsidR="00275335" w:rsidRPr="00857EEE" w:rsidRDefault="00275335" w:rsidP="00E1643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IDFont+F4"/>
                <w:sz w:val="23"/>
                <w:szCs w:val="23"/>
              </w:rPr>
            </w:pPr>
            <w:r w:rsidRPr="00857EEE">
              <w:rPr>
                <w:rFonts w:asciiTheme="minorHAnsi" w:eastAsiaTheme="minorHAnsi" w:hAnsiTheme="minorHAnsi" w:cs="CIDFont+F4"/>
                <w:sz w:val="23"/>
                <w:szCs w:val="23"/>
              </w:rPr>
              <w:t xml:space="preserve">The Inspection starts from </w:t>
            </w:r>
            <w:proofErr w:type="gramStart"/>
            <w:r w:rsidRPr="00857EEE">
              <w:rPr>
                <w:rFonts w:asciiTheme="minorHAnsi" w:eastAsiaTheme="minorHAnsi" w:hAnsiTheme="minorHAnsi" w:cs="CIDFont+F4"/>
                <w:sz w:val="23"/>
                <w:szCs w:val="23"/>
              </w:rPr>
              <w:t>1</w:t>
            </w:r>
            <w:r w:rsidRPr="00857EEE">
              <w:rPr>
                <w:rFonts w:asciiTheme="minorHAnsi" w:eastAsiaTheme="minorHAnsi" w:hAnsiTheme="minorHAnsi" w:cs="CIDFont+F4"/>
                <w:sz w:val="16"/>
                <w:szCs w:val="16"/>
              </w:rPr>
              <w:t xml:space="preserve">st </w:t>
            </w:r>
            <w:r w:rsidR="00EB4A34" w:rsidRPr="00857EEE">
              <w:rPr>
                <w:rFonts w:asciiTheme="minorHAnsi" w:eastAsiaTheme="minorHAnsi" w:hAnsiTheme="minorHAnsi" w:cs="CIDFont+F4"/>
                <w:sz w:val="23"/>
                <w:szCs w:val="23"/>
              </w:rPr>
              <w:t xml:space="preserve"> October</w:t>
            </w:r>
            <w:proofErr w:type="gramEnd"/>
            <w:r w:rsidR="00857EEE">
              <w:rPr>
                <w:rFonts w:asciiTheme="minorHAnsi" w:eastAsiaTheme="minorHAnsi" w:hAnsiTheme="minorHAnsi" w:cs="CIDFont+F4"/>
                <w:sz w:val="23"/>
                <w:szCs w:val="23"/>
              </w:rPr>
              <w:t xml:space="preserve"> </w:t>
            </w:r>
            <w:r w:rsidRPr="00857EEE">
              <w:rPr>
                <w:rFonts w:asciiTheme="minorHAnsi" w:eastAsiaTheme="minorHAnsi" w:hAnsiTheme="minorHAnsi" w:cs="CIDFont+F4"/>
                <w:sz w:val="23"/>
                <w:szCs w:val="23"/>
              </w:rPr>
              <w:t>2020 f</w:t>
            </w:r>
            <w:r w:rsidR="00EB4A34" w:rsidRPr="00857EEE">
              <w:rPr>
                <w:rFonts w:asciiTheme="minorHAnsi" w:eastAsiaTheme="minorHAnsi" w:hAnsiTheme="minorHAnsi" w:cs="CIDFont+F4"/>
                <w:sz w:val="23"/>
                <w:szCs w:val="23"/>
              </w:rPr>
              <w:t xml:space="preserve">or the Registered </w:t>
            </w:r>
            <w:proofErr w:type="spellStart"/>
            <w:r w:rsidR="00EB4A34" w:rsidRPr="00857EEE">
              <w:rPr>
                <w:rFonts w:asciiTheme="minorHAnsi" w:eastAsiaTheme="minorHAnsi" w:hAnsiTheme="minorHAnsi" w:cs="CIDFont+F4"/>
                <w:sz w:val="23"/>
                <w:szCs w:val="23"/>
              </w:rPr>
              <w:t>Valuers</w:t>
            </w:r>
            <w:proofErr w:type="spellEnd"/>
            <w:r w:rsidR="00EB4A34" w:rsidRPr="00857EEE">
              <w:rPr>
                <w:rFonts w:asciiTheme="minorHAnsi" w:eastAsiaTheme="minorHAnsi" w:hAnsiTheme="minorHAnsi" w:cs="CIDFont+F4"/>
                <w:sz w:val="23"/>
                <w:szCs w:val="23"/>
              </w:rPr>
              <w:t xml:space="preserve"> in IBVA</w:t>
            </w:r>
            <w:r w:rsidR="00857EEE">
              <w:rPr>
                <w:rFonts w:asciiTheme="minorHAnsi" w:eastAsiaTheme="minorHAnsi" w:hAnsiTheme="minorHAnsi" w:cs="CIDFont+F4"/>
                <w:sz w:val="23"/>
                <w:szCs w:val="23"/>
              </w:rPr>
              <w:t xml:space="preserve"> </w:t>
            </w:r>
            <w:r w:rsidRPr="00857EEE">
              <w:rPr>
                <w:rFonts w:asciiTheme="minorHAnsi" w:eastAsiaTheme="minorHAnsi" w:hAnsiTheme="minorHAnsi" w:cs="CIDFont+F4"/>
                <w:sz w:val="23"/>
                <w:szCs w:val="23"/>
              </w:rPr>
              <w:t>Based on the compliance with</w:t>
            </w:r>
            <w:r w:rsidR="00EB4A34" w:rsidRPr="00857EEE">
              <w:rPr>
                <w:rFonts w:asciiTheme="minorHAnsi" w:eastAsiaTheme="minorHAnsi" w:hAnsiTheme="minorHAnsi" w:cs="CIDFont+F4"/>
                <w:sz w:val="23"/>
                <w:szCs w:val="23"/>
              </w:rPr>
              <w:t xml:space="preserve"> </w:t>
            </w:r>
            <w:r w:rsidRPr="00857EEE">
              <w:rPr>
                <w:rFonts w:asciiTheme="minorHAnsi" w:eastAsiaTheme="minorHAnsi" w:hAnsiTheme="minorHAnsi" w:cs="CIDFont+F4"/>
                <w:sz w:val="23"/>
                <w:szCs w:val="23"/>
              </w:rPr>
              <w:t>grades members will be selected</w:t>
            </w:r>
            <w:r w:rsidR="00EB4A34" w:rsidRPr="00857EEE">
              <w:rPr>
                <w:rFonts w:asciiTheme="minorHAnsi" w:eastAsiaTheme="minorHAnsi" w:hAnsiTheme="minorHAnsi" w:cs="CIDFont+F4"/>
                <w:sz w:val="23"/>
                <w:szCs w:val="23"/>
              </w:rPr>
              <w:t xml:space="preserve"> </w:t>
            </w:r>
            <w:r w:rsidRPr="00857EEE">
              <w:rPr>
                <w:rFonts w:asciiTheme="minorHAnsi" w:eastAsiaTheme="minorHAnsi" w:hAnsiTheme="minorHAnsi" w:cs="CIDFont+F4"/>
                <w:sz w:val="23"/>
                <w:szCs w:val="23"/>
              </w:rPr>
              <w:t>and listed and submitted to board</w:t>
            </w:r>
            <w:r w:rsidR="00EB4A34" w:rsidRPr="00857EEE">
              <w:rPr>
                <w:rFonts w:asciiTheme="minorHAnsi" w:eastAsiaTheme="minorHAnsi" w:hAnsiTheme="minorHAnsi" w:cs="CIDFont+F4"/>
                <w:sz w:val="23"/>
                <w:szCs w:val="23"/>
              </w:rPr>
              <w:t xml:space="preserve"> </w:t>
            </w:r>
            <w:r w:rsidRPr="00857EEE">
              <w:rPr>
                <w:rFonts w:asciiTheme="minorHAnsi" w:eastAsiaTheme="minorHAnsi" w:hAnsiTheme="minorHAnsi" w:cs="CIDFont+F4"/>
                <w:sz w:val="23"/>
                <w:szCs w:val="23"/>
              </w:rPr>
              <w:t>and committee.</w:t>
            </w:r>
          </w:p>
          <w:p w:rsidR="00275335" w:rsidRPr="004F2244" w:rsidRDefault="00275335" w:rsidP="00E1643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IDFont+F4"/>
                <w:sz w:val="23"/>
                <w:szCs w:val="23"/>
              </w:rPr>
            </w:pPr>
            <w:r w:rsidRPr="004F2244">
              <w:rPr>
                <w:rFonts w:asciiTheme="minorHAnsi" w:eastAsiaTheme="minorHAnsi" w:hAnsiTheme="minorHAnsi" w:cs="CIDFont+F4"/>
                <w:sz w:val="23"/>
                <w:szCs w:val="23"/>
              </w:rPr>
              <w:t>The period of inspection shall be as</w:t>
            </w:r>
            <w:r w:rsidR="00757C60">
              <w:rPr>
                <w:rFonts w:asciiTheme="minorHAnsi" w:eastAsiaTheme="minorHAnsi" w:hAnsiTheme="minorHAnsi" w:cs="CIDFont+F4"/>
                <w:sz w:val="23"/>
                <w:szCs w:val="23"/>
              </w:rPr>
              <w:t xml:space="preserve"> </w:t>
            </w:r>
            <w:r w:rsidRPr="004F2244">
              <w:rPr>
                <w:rFonts w:asciiTheme="minorHAnsi" w:eastAsiaTheme="minorHAnsi" w:hAnsiTheme="minorHAnsi" w:cs="CIDFont+F4"/>
                <w:sz w:val="23"/>
                <w:szCs w:val="23"/>
              </w:rPr>
              <w:t>below</w:t>
            </w:r>
          </w:p>
          <w:p w:rsidR="00275335" w:rsidRPr="004F2244" w:rsidRDefault="00275335" w:rsidP="00E1643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IDFont+F4"/>
                <w:sz w:val="23"/>
                <w:szCs w:val="23"/>
              </w:rPr>
            </w:pPr>
            <w:r w:rsidRPr="004F2244">
              <w:rPr>
                <w:rFonts w:asciiTheme="minorHAnsi" w:eastAsiaTheme="minorHAnsi" w:hAnsiTheme="minorHAnsi" w:cs="CIDFont+F4"/>
                <w:sz w:val="23"/>
                <w:szCs w:val="23"/>
              </w:rPr>
              <w:t>Members with 3 years registration</w:t>
            </w:r>
          </w:p>
          <w:p w:rsidR="00275335" w:rsidRPr="004F2244" w:rsidRDefault="00275335" w:rsidP="00E1643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IDFont+F4"/>
                <w:sz w:val="23"/>
                <w:szCs w:val="23"/>
              </w:rPr>
            </w:pPr>
            <w:r w:rsidRPr="004F2244">
              <w:rPr>
                <w:rFonts w:asciiTheme="minorHAnsi" w:eastAsiaTheme="minorHAnsi" w:hAnsiTheme="minorHAnsi" w:cs="CIDFont+F4"/>
                <w:sz w:val="23"/>
                <w:szCs w:val="23"/>
              </w:rPr>
              <w:t>Members with less than 3 years</w:t>
            </w:r>
            <w:r w:rsidR="004F2244">
              <w:rPr>
                <w:rFonts w:asciiTheme="minorHAnsi" w:eastAsiaTheme="minorHAnsi" w:hAnsiTheme="minorHAnsi" w:cs="CIDFont+F4"/>
                <w:sz w:val="23"/>
                <w:szCs w:val="23"/>
              </w:rPr>
              <w:t xml:space="preserve"> </w:t>
            </w:r>
            <w:r w:rsidRPr="004F2244">
              <w:rPr>
                <w:rFonts w:asciiTheme="minorHAnsi" w:eastAsiaTheme="minorHAnsi" w:hAnsiTheme="minorHAnsi" w:cs="CIDFont+F4"/>
                <w:sz w:val="23"/>
                <w:szCs w:val="23"/>
              </w:rPr>
              <w:t>from the date of registration to till</w:t>
            </w:r>
            <w:r w:rsidR="004F2244">
              <w:rPr>
                <w:rFonts w:asciiTheme="minorHAnsi" w:eastAsiaTheme="minorHAnsi" w:hAnsiTheme="minorHAnsi" w:cs="CIDFont+F4"/>
                <w:sz w:val="23"/>
                <w:szCs w:val="23"/>
              </w:rPr>
              <w:t xml:space="preserve"> </w:t>
            </w:r>
            <w:r w:rsidRPr="004F2244">
              <w:rPr>
                <w:rFonts w:asciiTheme="minorHAnsi" w:eastAsiaTheme="minorHAnsi" w:hAnsiTheme="minorHAnsi" w:cs="CIDFont+F4"/>
                <w:sz w:val="23"/>
                <w:szCs w:val="23"/>
              </w:rPr>
              <w:t>date.</w:t>
            </w:r>
          </w:p>
        </w:tc>
      </w:tr>
      <w:tr w:rsidR="00275335" w:rsidTr="00757C60">
        <w:trPr>
          <w:jc w:val="center"/>
        </w:trPr>
        <w:tc>
          <w:tcPr>
            <w:tcW w:w="985" w:type="dxa"/>
          </w:tcPr>
          <w:p w:rsidR="00EB4A34" w:rsidRDefault="00EB4A34" w:rsidP="00EB4A34">
            <w:pPr>
              <w:pStyle w:val="ListParagraph"/>
              <w:ind w:left="0"/>
              <w:jc w:val="center"/>
              <w:rPr>
                <w:rFonts w:ascii="Arial" w:eastAsia="Arial" w:hAnsi="Arial"/>
                <w:b/>
                <w:sz w:val="23"/>
              </w:rPr>
            </w:pPr>
          </w:p>
          <w:p w:rsidR="00EB4A34" w:rsidRDefault="00EB4A34" w:rsidP="00EB4A34">
            <w:pPr>
              <w:pStyle w:val="ListParagraph"/>
              <w:ind w:left="0"/>
              <w:jc w:val="center"/>
              <w:rPr>
                <w:rFonts w:ascii="Arial" w:eastAsia="Arial" w:hAnsi="Arial"/>
                <w:b/>
                <w:sz w:val="23"/>
              </w:rPr>
            </w:pPr>
          </w:p>
          <w:p w:rsidR="00EB4A34" w:rsidRDefault="00EB4A34" w:rsidP="00EB4A34">
            <w:pPr>
              <w:pStyle w:val="ListParagraph"/>
              <w:ind w:left="0"/>
              <w:jc w:val="center"/>
              <w:rPr>
                <w:rFonts w:ascii="Arial" w:eastAsia="Arial" w:hAnsi="Arial"/>
                <w:b/>
                <w:sz w:val="23"/>
              </w:rPr>
            </w:pPr>
          </w:p>
          <w:p w:rsidR="00EB4A34" w:rsidRDefault="00EB4A34" w:rsidP="00EB4A34">
            <w:pPr>
              <w:pStyle w:val="ListParagraph"/>
              <w:ind w:left="0"/>
              <w:jc w:val="center"/>
              <w:rPr>
                <w:rFonts w:ascii="Arial" w:eastAsia="Arial" w:hAnsi="Arial"/>
                <w:b/>
                <w:sz w:val="23"/>
              </w:rPr>
            </w:pPr>
          </w:p>
          <w:p w:rsidR="00EB4A34" w:rsidRDefault="00EB4A34" w:rsidP="00EB4A34">
            <w:pPr>
              <w:pStyle w:val="ListParagraph"/>
              <w:ind w:left="0"/>
              <w:jc w:val="center"/>
              <w:rPr>
                <w:rFonts w:ascii="Arial" w:eastAsia="Arial" w:hAnsi="Arial"/>
                <w:b/>
                <w:sz w:val="23"/>
              </w:rPr>
            </w:pPr>
          </w:p>
          <w:p w:rsidR="00EB4A34" w:rsidRDefault="00EB4A34" w:rsidP="00EB4A34">
            <w:pPr>
              <w:pStyle w:val="ListParagraph"/>
              <w:ind w:left="0"/>
              <w:jc w:val="center"/>
              <w:rPr>
                <w:rFonts w:ascii="Arial" w:eastAsia="Arial" w:hAnsi="Arial"/>
                <w:b/>
                <w:sz w:val="23"/>
              </w:rPr>
            </w:pPr>
          </w:p>
          <w:p w:rsidR="00275335" w:rsidRDefault="00EB4A34" w:rsidP="00EB4A34">
            <w:pPr>
              <w:pStyle w:val="ListParagraph"/>
              <w:ind w:left="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 xml:space="preserve">     </w:t>
            </w:r>
            <w:r w:rsidR="00F27575">
              <w:rPr>
                <w:rFonts w:ascii="Arial" w:eastAsia="Arial" w:hAnsi="Arial"/>
                <w:b/>
                <w:sz w:val="23"/>
              </w:rPr>
              <w:t>6.</w:t>
            </w:r>
          </w:p>
        </w:tc>
        <w:tc>
          <w:tcPr>
            <w:tcW w:w="3155" w:type="dxa"/>
            <w:vAlign w:val="center"/>
          </w:tcPr>
          <w:p w:rsidR="00275335" w:rsidRPr="00EB4A34" w:rsidRDefault="00DF2BA6" w:rsidP="00757C6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F27575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Responsibilities of Registered</w:t>
            </w:r>
            <w:r w:rsidR="00EB4A3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27575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Valuers</w:t>
            </w:r>
            <w:proofErr w:type="spellEnd"/>
          </w:p>
        </w:tc>
        <w:tc>
          <w:tcPr>
            <w:tcW w:w="5220" w:type="dxa"/>
          </w:tcPr>
          <w:p w:rsidR="00DF2BA6" w:rsidRPr="009732A6" w:rsidRDefault="00DF2BA6" w:rsidP="00E1643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4"/>
                <w:szCs w:val="23"/>
              </w:rPr>
            </w:pPr>
            <w:r w:rsidRPr="009732A6">
              <w:rPr>
                <w:rFonts w:asciiTheme="minorHAnsi" w:eastAsiaTheme="minorHAnsi" w:hAnsiTheme="minorHAnsi" w:cstheme="minorHAnsi"/>
                <w:sz w:val="24"/>
                <w:szCs w:val="23"/>
              </w:rPr>
              <w:t xml:space="preserve">The Registered </w:t>
            </w:r>
            <w:proofErr w:type="spellStart"/>
            <w:r w:rsidRPr="009732A6">
              <w:rPr>
                <w:rFonts w:asciiTheme="minorHAnsi" w:eastAsiaTheme="minorHAnsi" w:hAnsiTheme="minorHAnsi" w:cstheme="minorHAnsi"/>
                <w:sz w:val="24"/>
                <w:szCs w:val="23"/>
              </w:rPr>
              <w:t>Valuers</w:t>
            </w:r>
            <w:proofErr w:type="spellEnd"/>
            <w:r w:rsidRPr="009732A6">
              <w:rPr>
                <w:rFonts w:asciiTheme="minorHAnsi" w:eastAsiaTheme="minorHAnsi" w:hAnsiTheme="minorHAnsi" w:cstheme="minorHAnsi"/>
                <w:sz w:val="24"/>
                <w:szCs w:val="23"/>
              </w:rPr>
              <w:t xml:space="preserve"> selected for</w:t>
            </w:r>
            <w:r w:rsidR="00C46900">
              <w:rPr>
                <w:rFonts w:asciiTheme="minorHAnsi" w:eastAsiaTheme="minorHAnsi" w:hAnsiTheme="minorHAnsi" w:cstheme="minorHAnsi"/>
                <w:sz w:val="24"/>
                <w:szCs w:val="23"/>
              </w:rPr>
              <w:t xml:space="preserve"> </w:t>
            </w:r>
            <w:r w:rsidRPr="009732A6">
              <w:rPr>
                <w:rFonts w:asciiTheme="minorHAnsi" w:eastAsiaTheme="minorHAnsi" w:hAnsiTheme="minorHAnsi" w:cstheme="minorHAnsi"/>
                <w:sz w:val="24"/>
                <w:szCs w:val="23"/>
              </w:rPr>
              <w:t>inspection will be informed well in</w:t>
            </w:r>
            <w:r w:rsidR="00C46900">
              <w:rPr>
                <w:rFonts w:asciiTheme="minorHAnsi" w:eastAsiaTheme="minorHAnsi" w:hAnsiTheme="minorHAnsi" w:cstheme="minorHAnsi"/>
                <w:sz w:val="24"/>
                <w:szCs w:val="23"/>
              </w:rPr>
              <w:t xml:space="preserve"> </w:t>
            </w:r>
            <w:r w:rsidRPr="009732A6">
              <w:rPr>
                <w:rFonts w:asciiTheme="minorHAnsi" w:eastAsiaTheme="minorHAnsi" w:hAnsiTheme="minorHAnsi" w:cstheme="minorHAnsi"/>
                <w:sz w:val="24"/>
                <w:szCs w:val="23"/>
              </w:rPr>
              <w:t>advance about the inspection.</w:t>
            </w:r>
          </w:p>
          <w:p w:rsidR="00EB4A34" w:rsidRPr="009732A6" w:rsidRDefault="00EB4A34" w:rsidP="00E1643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4"/>
                <w:szCs w:val="23"/>
              </w:rPr>
            </w:pPr>
          </w:p>
          <w:p w:rsidR="00DF2BA6" w:rsidRPr="009732A6" w:rsidRDefault="00DF2BA6" w:rsidP="00E1643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4"/>
                <w:szCs w:val="23"/>
              </w:rPr>
            </w:pPr>
            <w:r w:rsidRPr="009732A6">
              <w:rPr>
                <w:rFonts w:asciiTheme="minorHAnsi" w:eastAsiaTheme="minorHAnsi" w:hAnsiTheme="minorHAnsi" w:cstheme="minorHAnsi"/>
                <w:sz w:val="24"/>
                <w:szCs w:val="23"/>
              </w:rPr>
              <w:t>The selected RV has to submit the</w:t>
            </w:r>
            <w:r w:rsidR="00C46900">
              <w:rPr>
                <w:rFonts w:asciiTheme="minorHAnsi" w:eastAsiaTheme="minorHAnsi" w:hAnsiTheme="minorHAnsi" w:cstheme="minorHAnsi"/>
                <w:sz w:val="24"/>
                <w:szCs w:val="23"/>
              </w:rPr>
              <w:t xml:space="preserve"> </w:t>
            </w:r>
            <w:r w:rsidRPr="009732A6">
              <w:rPr>
                <w:rFonts w:asciiTheme="minorHAnsi" w:eastAsiaTheme="minorHAnsi" w:hAnsiTheme="minorHAnsi" w:cstheme="minorHAnsi"/>
                <w:sz w:val="24"/>
                <w:szCs w:val="23"/>
              </w:rPr>
              <w:t>following to the Inspection team</w:t>
            </w:r>
          </w:p>
          <w:p w:rsidR="00DF2BA6" w:rsidRPr="009732A6" w:rsidRDefault="00DF2BA6" w:rsidP="00E1643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4"/>
                <w:szCs w:val="23"/>
              </w:rPr>
            </w:pPr>
            <w:r w:rsidRPr="009732A6">
              <w:rPr>
                <w:rFonts w:asciiTheme="minorHAnsi" w:eastAsiaTheme="minorHAnsi" w:hAnsiTheme="minorHAnsi" w:cstheme="minorHAnsi"/>
                <w:sz w:val="24"/>
                <w:szCs w:val="23"/>
              </w:rPr>
              <w:t>Registration records</w:t>
            </w:r>
          </w:p>
          <w:p w:rsidR="00DF2BA6" w:rsidRPr="00E47746" w:rsidRDefault="00DF2BA6" w:rsidP="00E4774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4"/>
                <w:szCs w:val="23"/>
              </w:rPr>
            </w:pPr>
            <w:r w:rsidRPr="009732A6">
              <w:rPr>
                <w:rFonts w:asciiTheme="minorHAnsi" w:eastAsiaTheme="minorHAnsi" w:hAnsiTheme="minorHAnsi" w:cstheme="minorHAnsi"/>
                <w:sz w:val="24"/>
                <w:szCs w:val="23"/>
              </w:rPr>
              <w:t>Assignment received and reports</w:t>
            </w:r>
            <w:r w:rsidR="00E47746">
              <w:rPr>
                <w:rFonts w:asciiTheme="minorHAnsi" w:eastAsiaTheme="minorHAnsi" w:hAnsiTheme="minorHAnsi" w:cstheme="minorHAnsi"/>
                <w:sz w:val="24"/>
                <w:szCs w:val="23"/>
              </w:rPr>
              <w:t xml:space="preserve"> </w:t>
            </w:r>
            <w:r w:rsidRPr="00E47746">
              <w:rPr>
                <w:rFonts w:asciiTheme="minorHAnsi" w:eastAsiaTheme="minorHAnsi" w:hAnsiTheme="minorHAnsi" w:cstheme="minorHAnsi"/>
                <w:sz w:val="24"/>
                <w:szCs w:val="23"/>
              </w:rPr>
              <w:t>submitted</w:t>
            </w:r>
          </w:p>
          <w:p w:rsidR="00DF2BA6" w:rsidRPr="009732A6" w:rsidRDefault="00C46900" w:rsidP="00E1643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4"/>
                <w:szCs w:val="23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3"/>
              </w:rPr>
              <w:t>D</w:t>
            </w:r>
            <w:r w:rsidR="003F1F86" w:rsidRPr="009732A6">
              <w:rPr>
                <w:rFonts w:asciiTheme="minorHAnsi" w:eastAsiaTheme="minorHAnsi" w:hAnsiTheme="minorHAnsi" w:cstheme="minorHAnsi"/>
                <w:sz w:val="24"/>
                <w:szCs w:val="23"/>
              </w:rPr>
              <w:t>etails submitted to IBVA</w:t>
            </w:r>
          </w:p>
          <w:p w:rsidR="00DF2BA6" w:rsidRPr="00E47746" w:rsidRDefault="00DF2BA6" w:rsidP="00E4774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4"/>
                <w:szCs w:val="23"/>
              </w:rPr>
            </w:pPr>
            <w:r w:rsidRPr="009732A6">
              <w:rPr>
                <w:rFonts w:asciiTheme="minorHAnsi" w:eastAsiaTheme="minorHAnsi" w:hAnsiTheme="minorHAnsi" w:cstheme="minorHAnsi"/>
                <w:sz w:val="24"/>
                <w:szCs w:val="23"/>
              </w:rPr>
              <w:t>Allow team to inspect all records</w:t>
            </w:r>
            <w:r w:rsidR="00E47746">
              <w:rPr>
                <w:rFonts w:asciiTheme="minorHAnsi" w:eastAsiaTheme="minorHAnsi" w:hAnsiTheme="minorHAnsi" w:cstheme="minorHAnsi"/>
                <w:sz w:val="24"/>
                <w:szCs w:val="23"/>
              </w:rPr>
              <w:t xml:space="preserve"> </w:t>
            </w:r>
            <w:r w:rsidRPr="00E47746">
              <w:rPr>
                <w:rFonts w:asciiTheme="minorHAnsi" w:eastAsiaTheme="minorHAnsi" w:hAnsiTheme="minorHAnsi" w:cstheme="minorHAnsi"/>
                <w:sz w:val="24"/>
                <w:szCs w:val="23"/>
              </w:rPr>
              <w:t>and register maintained by the</w:t>
            </w:r>
            <w:r w:rsidR="003F1F86" w:rsidRPr="00E47746">
              <w:rPr>
                <w:rFonts w:asciiTheme="minorHAnsi" w:eastAsiaTheme="minorHAnsi" w:hAnsiTheme="minorHAnsi" w:cstheme="minorHAnsi"/>
                <w:sz w:val="24"/>
                <w:szCs w:val="23"/>
              </w:rPr>
              <w:t xml:space="preserve"> </w:t>
            </w:r>
            <w:r w:rsidRPr="00E47746">
              <w:rPr>
                <w:rFonts w:asciiTheme="minorHAnsi" w:eastAsiaTheme="minorHAnsi" w:hAnsiTheme="minorHAnsi" w:cstheme="minorHAnsi"/>
                <w:sz w:val="24"/>
                <w:szCs w:val="23"/>
              </w:rPr>
              <w:t>RV</w:t>
            </w:r>
          </w:p>
          <w:p w:rsidR="00275335" w:rsidRPr="00E47746" w:rsidRDefault="00DF2BA6" w:rsidP="00E4774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4"/>
                <w:szCs w:val="23"/>
              </w:rPr>
            </w:pPr>
            <w:r w:rsidRPr="009732A6">
              <w:rPr>
                <w:rFonts w:asciiTheme="minorHAnsi" w:eastAsiaTheme="minorHAnsi" w:hAnsiTheme="minorHAnsi" w:cstheme="minorHAnsi"/>
                <w:sz w:val="24"/>
                <w:szCs w:val="23"/>
              </w:rPr>
              <w:t>Pay the inspection team charges</w:t>
            </w:r>
            <w:r w:rsidR="00E47746">
              <w:rPr>
                <w:rFonts w:asciiTheme="minorHAnsi" w:eastAsiaTheme="minorHAnsi" w:hAnsiTheme="minorHAnsi" w:cstheme="minorHAnsi"/>
                <w:sz w:val="24"/>
                <w:szCs w:val="23"/>
              </w:rPr>
              <w:t xml:space="preserve"> </w:t>
            </w:r>
            <w:r w:rsidRPr="00E47746">
              <w:rPr>
                <w:rFonts w:asciiTheme="minorHAnsi" w:eastAsiaTheme="minorHAnsi" w:hAnsiTheme="minorHAnsi" w:cstheme="minorHAnsi"/>
                <w:sz w:val="24"/>
                <w:szCs w:val="23"/>
              </w:rPr>
              <w:t>as billed by the I</w:t>
            </w:r>
            <w:r w:rsidR="003F1F86" w:rsidRPr="00E47746">
              <w:rPr>
                <w:rFonts w:asciiTheme="minorHAnsi" w:eastAsiaTheme="minorHAnsi" w:hAnsiTheme="minorHAnsi" w:cstheme="minorHAnsi"/>
                <w:sz w:val="24"/>
                <w:szCs w:val="23"/>
              </w:rPr>
              <w:t>BVA</w:t>
            </w:r>
          </w:p>
        </w:tc>
      </w:tr>
      <w:tr w:rsidR="00275335" w:rsidTr="00757C60">
        <w:trPr>
          <w:jc w:val="center"/>
        </w:trPr>
        <w:tc>
          <w:tcPr>
            <w:tcW w:w="985" w:type="dxa"/>
          </w:tcPr>
          <w:p w:rsidR="003F1F86" w:rsidRDefault="003F1F86" w:rsidP="00EB4A34">
            <w:pPr>
              <w:pStyle w:val="ListParagraph"/>
              <w:ind w:left="0"/>
              <w:jc w:val="center"/>
              <w:rPr>
                <w:rFonts w:ascii="Arial" w:eastAsia="Arial" w:hAnsi="Arial"/>
                <w:b/>
                <w:sz w:val="23"/>
              </w:rPr>
            </w:pPr>
          </w:p>
          <w:p w:rsidR="003F1F86" w:rsidRDefault="003F1F86" w:rsidP="00EB4A34">
            <w:pPr>
              <w:pStyle w:val="ListParagraph"/>
              <w:ind w:left="0"/>
              <w:jc w:val="center"/>
              <w:rPr>
                <w:rFonts w:ascii="Arial" w:eastAsia="Arial" w:hAnsi="Arial"/>
                <w:b/>
                <w:sz w:val="23"/>
              </w:rPr>
            </w:pPr>
          </w:p>
          <w:p w:rsidR="003F1F86" w:rsidRDefault="003F1F86" w:rsidP="00EB4A34">
            <w:pPr>
              <w:pStyle w:val="ListParagraph"/>
              <w:ind w:left="0"/>
              <w:jc w:val="center"/>
              <w:rPr>
                <w:rFonts w:ascii="Arial" w:eastAsia="Arial" w:hAnsi="Arial"/>
                <w:b/>
                <w:sz w:val="23"/>
              </w:rPr>
            </w:pPr>
          </w:p>
          <w:p w:rsidR="003F1F86" w:rsidRDefault="003F1F86" w:rsidP="00EB4A34">
            <w:pPr>
              <w:pStyle w:val="ListParagraph"/>
              <w:ind w:left="0"/>
              <w:jc w:val="center"/>
              <w:rPr>
                <w:rFonts w:ascii="Arial" w:eastAsia="Arial" w:hAnsi="Arial"/>
                <w:b/>
                <w:sz w:val="23"/>
              </w:rPr>
            </w:pPr>
          </w:p>
          <w:p w:rsidR="003F1F86" w:rsidRDefault="003F1F86" w:rsidP="00EB4A34">
            <w:pPr>
              <w:pStyle w:val="ListParagraph"/>
              <w:ind w:left="0"/>
              <w:jc w:val="center"/>
              <w:rPr>
                <w:rFonts w:ascii="Arial" w:eastAsia="Arial" w:hAnsi="Arial"/>
                <w:b/>
                <w:sz w:val="23"/>
              </w:rPr>
            </w:pPr>
          </w:p>
          <w:p w:rsidR="003F1F86" w:rsidRDefault="003F1F86" w:rsidP="00EB4A34">
            <w:pPr>
              <w:pStyle w:val="ListParagraph"/>
              <w:ind w:left="0"/>
              <w:jc w:val="center"/>
              <w:rPr>
                <w:rFonts w:ascii="Arial" w:eastAsia="Arial" w:hAnsi="Arial"/>
                <w:b/>
                <w:sz w:val="23"/>
              </w:rPr>
            </w:pPr>
          </w:p>
          <w:p w:rsidR="003F1F86" w:rsidRDefault="003F1F86" w:rsidP="00EB4A34">
            <w:pPr>
              <w:pStyle w:val="ListParagraph"/>
              <w:ind w:left="0"/>
              <w:jc w:val="center"/>
              <w:rPr>
                <w:rFonts w:ascii="Arial" w:eastAsia="Arial" w:hAnsi="Arial"/>
                <w:b/>
                <w:sz w:val="23"/>
              </w:rPr>
            </w:pPr>
          </w:p>
          <w:p w:rsidR="003F1F86" w:rsidRDefault="003F1F86" w:rsidP="00EB4A34">
            <w:pPr>
              <w:pStyle w:val="ListParagraph"/>
              <w:ind w:left="0"/>
              <w:jc w:val="center"/>
              <w:rPr>
                <w:rFonts w:ascii="Arial" w:eastAsia="Arial" w:hAnsi="Arial"/>
                <w:b/>
                <w:sz w:val="23"/>
              </w:rPr>
            </w:pPr>
          </w:p>
          <w:p w:rsidR="00275335" w:rsidRDefault="003F1F86" w:rsidP="003F1F86">
            <w:pPr>
              <w:pStyle w:val="ListParagraph"/>
              <w:ind w:left="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 xml:space="preserve">     </w:t>
            </w:r>
            <w:r w:rsidR="00F27575">
              <w:rPr>
                <w:rFonts w:ascii="Arial" w:eastAsia="Arial" w:hAnsi="Arial"/>
                <w:b/>
                <w:sz w:val="23"/>
              </w:rPr>
              <w:t>7.</w:t>
            </w:r>
          </w:p>
        </w:tc>
        <w:tc>
          <w:tcPr>
            <w:tcW w:w="3155" w:type="dxa"/>
            <w:vAlign w:val="center"/>
          </w:tcPr>
          <w:p w:rsidR="003F1F86" w:rsidRDefault="003F1F86" w:rsidP="00757C6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3F1F86" w:rsidRDefault="003F1F86" w:rsidP="00757C6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</w:p>
          <w:p w:rsidR="00DF2BA6" w:rsidRPr="00F27575" w:rsidRDefault="00DF2BA6" w:rsidP="00757C6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F27575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Responsibilities of Inspection</w:t>
            </w:r>
          </w:p>
          <w:p w:rsidR="00275335" w:rsidRPr="00F27575" w:rsidRDefault="00DF2BA6" w:rsidP="00757C60">
            <w:pPr>
              <w:pStyle w:val="ListParagraph"/>
              <w:ind w:left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F27575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Team</w:t>
            </w:r>
          </w:p>
        </w:tc>
        <w:tc>
          <w:tcPr>
            <w:tcW w:w="5220" w:type="dxa"/>
          </w:tcPr>
          <w:p w:rsidR="00275335" w:rsidRPr="009732A6" w:rsidRDefault="00117D87" w:rsidP="00E1643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eastAsiaTheme="minorHAnsi" w:hAnsiTheme="minorHAnsi" w:cstheme="minorHAnsi"/>
                <w:sz w:val="23"/>
                <w:szCs w:val="23"/>
              </w:rPr>
              <w:t>The team selected by the B</w:t>
            </w:r>
            <w:r w:rsidR="00DF2BA6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oard</w:t>
            </w:r>
            <w:r w:rsidR="003F1F86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="00DF2BA6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has to complete the inspection</w:t>
            </w:r>
            <w:r w:rsidR="003F1F86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="00DF2BA6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within the stipulated time.</w:t>
            </w:r>
          </w:p>
          <w:p w:rsidR="00DF2BA6" w:rsidRPr="002A335D" w:rsidRDefault="00DF2BA6" w:rsidP="00E1643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The team has to inspect only as per</w:t>
            </w:r>
            <w:r w:rsidR="003F1F86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the bye law and rules and</w:t>
            </w:r>
            <w:r w:rsidR="002A335D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Pr="002A335D">
              <w:rPr>
                <w:rFonts w:asciiTheme="minorHAnsi" w:eastAsiaTheme="minorHAnsi" w:hAnsiTheme="minorHAnsi" w:cstheme="minorHAnsi"/>
                <w:sz w:val="23"/>
                <w:szCs w:val="23"/>
              </w:rPr>
              <w:t>regulation provided by the board</w:t>
            </w:r>
            <w:r w:rsidR="002A335D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Pr="002A335D">
              <w:rPr>
                <w:rFonts w:asciiTheme="minorHAnsi" w:eastAsiaTheme="minorHAnsi" w:hAnsiTheme="minorHAnsi" w:cstheme="minorHAnsi"/>
                <w:sz w:val="23"/>
                <w:szCs w:val="23"/>
              </w:rPr>
              <w:t>from time to time.</w:t>
            </w:r>
          </w:p>
          <w:p w:rsidR="00DF2BA6" w:rsidRPr="009732A6" w:rsidRDefault="00DF2BA6" w:rsidP="00E1643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N</w:t>
            </w:r>
            <w:r w:rsidR="002A335D">
              <w:rPr>
                <w:rFonts w:asciiTheme="minorHAnsi" w:eastAsiaTheme="minorHAnsi" w:hAnsiTheme="minorHAnsi" w:cstheme="minorHAnsi"/>
                <w:sz w:val="23"/>
                <w:szCs w:val="23"/>
              </w:rPr>
              <w:t>o undue advantage</w:t>
            </w:r>
            <w:r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to be</w:t>
            </w:r>
            <w:r w:rsidR="003F1F86"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="002A335D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taken </w:t>
            </w:r>
            <w:r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from the RV</w:t>
            </w:r>
          </w:p>
          <w:p w:rsidR="00DF2BA6" w:rsidRPr="0056306C" w:rsidRDefault="00DF2BA6" w:rsidP="00E1643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The team has to inspect only</w:t>
            </w:r>
            <w:r w:rsidR="0056306C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Pr="0056306C">
              <w:rPr>
                <w:rFonts w:asciiTheme="minorHAnsi" w:eastAsiaTheme="minorHAnsi" w:hAnsiTheme="minorHAnsi" w:cstheme="minorHAnsi"/>
                <w:sz w:val="23"/>
                <w:szCs w:val="23"/>
              </w:rPr>
              <w:t>related to the valuation</w:t>
            </w:r>
            <w:r w:rsidR="003F1F86" w:rsidRPr="0056306C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Pr="0056306C">
              <w:rPr>
                <w:rFonts w:asciiTheme="minorHAnsi" w:eastAsiaTheme="minorHAnsi" w:hAnsiTheme="minorHAnsi" w:cstheme="minorHAnsi"/>
                <w:sz w:val="23"/>
                <w:szCs w:val="23"/>
              </w:rPr>
              <w:t>a</w:t>
            </w:r>
            <w:r w:rsidR="003F1F86" w:rsidRPr="0056306C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ssignment and any other business </w:t>
            </w:r>
            <w:r w:rsidRPr="0056306C">
              <w:rPr>
                <w:rFonts w:asciiTheme="minorHAnsi" w:eastAsiaTheme="minorHAnsi" w:hAnsiTheme="minorHAnsi" w:cstheme="minorHAnsi"/>
                <w:sz w:val="23"/>
                <w:szCs w:val="23"/>
              </w:rPr>
              <w:t>provided by the RV</w:t>
            </w:r>
          </w:p>
          <w:p w:rsidR="00DF2BA6" w:rsidRPr="0056306C" w:rsidRDefault="00DF2BA6" w:rsidP="00E1643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  <w:r w:rsidRPr="009732A6">
              <w:rPr>
                <w:rFonts w:asciiTheme="minorHAnsi" w:eastAsiaTheme="minorHAnsi" w:hAnsiTheme="minorHAnsi" w:cstheme="minorHAnsi"/>
                <w:sz w:val="23"/>
                <w:szCs w:val="23"/>
              </w:rPr>
              <w:t>The team has to complete the</w:t>
            </w:r>
            <w:r w:rsidR="0056306C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Pr="0056306C">
              <w:rPr>
                <w:rFonts w:asciiTheme="minorHAnsi" w:eastAsiaTheme="minorHAnsi" w:hAnsiTheme="minorHAnsi" w:cstheme="minorHAnsi"/>
                <w:sz w:val="23"/>
                <w:szCs w:val="23"/>
              </w:rPr>
              <w:t>inspection and collect details and</w:t>
            </w:r>
            <w:r w:rsidR="0056306C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="00D0159F" w:rsidRPr="0056306C">
              <w:rPr>
                <w:rFonts w:asciiTheme="minorHAnsi" w:eastAsiaTheme="minorHAnsi" w:hAnsiTheme="minorHAnsi" w:cstheme="minorHAnsi"/>
                <w:sz w:val="23"/>
                <w:szCs w:val="23"/>
              </w:rPr>
              <w:t>data</w:t>
            </w:r>
            <w:r w:rsidRPr="0056306C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pertaining to the assignment</w:t>
            </w:r>
            <w:r w:rsidR="0056306C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Pr="0056306C">
              <w:rPr>
                <w:rFonts w:asciiTheme="minorHAnsi" w:eastAsiaTheme="minorHAnsi" w:hAnsiTheme="minorHAnsi" w:cstheme="minorHAnsi"/>
                <w:sz w:val="23"/>
                <w:szCs w:val="23"/>
              </w:rPr>
              <w:t>as provided by the RV in the details</w:t>
            </w:r>
            <w:r w:rsidR="003F1F86" w:rsidRPr="0056306C">
              <w:rPr>
                <w:rFonts w:asciiTheme="minorHAnsi" w:eastAsiaTheme="minorHAnsi" w:hAnsiTheme="minorHAnsi" w:cstheme="minorHAnsi"/>
                <w:sz w:val="23"/>
                <w:szCs w:val="23"/>
              </w:rPr>
              <w:t xml:space="preserve"> </w:t>
            </w:r>
            <w:r w:rsidRPr="0056306C">
              <w:rPr>
                <w:rFonts w:asciiTheme="minorHAnsi" w:eastAsiaTheme="minorHAnsi" w:hAnsiTheme="minorHAnsi" w:cstheme="minorHAnsi"/>
                <w:sz w:val="23"/>
                <w:szCs w:val="23"/>
              </w:rPr>
              <w:t>report provided to I</w:t>
            </w:r>
            <w:r w:rsidR="003F1F86" w:rsidRPr="0056306C">
              <w:rPr>
                <w:rFonts w:asciiTheme="minorHAnsi" w:eastAsiaTheme="minorHAnsi" w:hAnsiTheme="minorHAnsi" w:cstheme="minorHAnsi"/>
                <w:sz w:val="23"/>
                <w:szCs w:val="23"/>
              </w:rPr>
              <w:t>BVA</w:t>
            </w:r>
          </w:p>
        </w:tc>
      </w:tr>
      <w:tr w:rsidR="00DF2BA6" w:rsidTr="00E47746">
        <w:trPr>
          <w:trHeight w:val="2780"/>
          <w:jc w:val="center"/>
        </w:trPr>
        <w:tc>
          <w:tcPr>
            <w:tcW w:w="985" w:type="dxa"/>
            <w:vAlign w:val="center"/>
          </w:tcPr>
          <w:p w:rsidR="00DF2BA6" w:rsidRDefault="00F27575" w:rsidP="00E47746">
            <w:pPr>
              <w:pStyle w:val="ListParagraph"/>
              <w:ind w:left="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8.</w:t>
            </w:r>
          </w:p>
        </w:tc>
        <w:tc>
          <w:tcPr>
            <w:tcW w:w="3155" w:type="dxa"/>
            <w:vAlign w:val="center"/>
          </w:tcPr>
          <w:p w:rsidR="00DF2BA6" w:rsidRPr="00F27575" w:rsidRDefault="00DF2BA6" w:rsidP="00E4774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F27575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Report submission by</w:t>
            </w:r>
          </w:p>
          <w:p w:rsidR="00DF2BA6" w:rsidRPr="00F27575" w:rsidRDefault="00DF2BA6" w:rsidP="00E47746">
            <w:pPr>
              <w:pStyle w:val="ListParagraph"/>
              <w:ind w:left="0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F27575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committee</w:t>
            </w:r>
          </w:p>
        </w:tc>
        <w:tc>
          <w:tcPr>
            <w:tcW w:w="5220" w:type="dxa"/>
          </w:tcPr>
          <w:p w:rsidR="00DF2BA6" w:rsidRPr="009732A6" w:rsidRDefault="00DF2BA6" w:rsidP="00E1643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eastAsia="CIDFont+F5" w:hAnsiTheme="minorHAnsi" w:cstheme="minorHAnsi"/>
                <w:sz w:val="23"/>
                <w:szCs w:val="23"/>
              </w:rPr>
            </w:pPr>
            <w:r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>The Inspection Team has to submit</w:t>
            </w:r>
            <w:r w:rsidR="003F1F86"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 xml:space="preserve"> </w:t>
            </w:r>
            <w:r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>the report in the prescribed format</w:t>
            </w:r>
            <w:r w:rsidR="003F1F86"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 xml:space="preserve"> </w:t>
            </w:r>
            <w:r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>approved by the Board.</w:t>
            </w:r>
          </w:p>
          <w:p w:rsidR="00DF2BA6" w:rsidRPr="009732A6" w:rsidRDefault="00DF2BA6" w:rsidP="00E1643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eastAsia="CIDFont+F5" w:hAnsiTheme="minorHAnsi" w:cstheme="minorHAnsi"/>
                <w:sz w:val="23"/>
                <w:szCs w:val="23"/>
              </w:rPr>
            </w:pPr>
            <w:r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>The report required to be</w:t>
            </w:r>
            <w:r w:rsidR="003F1F86"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 xml:space="preserve"> </w:t>
            </w:r>
            <w:r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>submitted within 15 days from the</w:t>
            </w:r>
            <w:r w:rsidR="003F1F86"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 xml:space="preserve"> </w:t>
            </w:r>
            <w:r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>date of Inspection.</w:t>
            </w:r>
          </w:p>
          <w:p w:rsidR="00DF2BA6" w:rsidRPr="003F1F86" w:rsidRDefault="00DF2BA6" w:rsidP="00E1643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IDFont+F4" w:eastAsia="CIDFont+F5" w:hAnsi="CIDFont+F4" w:cs="CIDFont+F4"/>
                <w:sz w:val="23"/>
                <w:szCs w:val="23"/>
              </w:rPr>
            </w:pPr>
            <w:r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>The bills for the inspection to be</w:t>
            </w:r>
            <w:r w:rsidR="003F1F86"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 xml:space="preserve"> </w:t>
            </w:r>
            <w:r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 xml:space="preserve">submitted to </w:t>
            </w:r>
            <w:r w:rsidR="003F1F86"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>IBVA</w:t>
            </w:r>
            <w:r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 xml:space="preserve"> and </w:t>
            </w:r>
            <w:r w:rsidR="003F1F86"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>IBVA</w:t>
            </w:r>
            <w:r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 xml:space="preserve"> will</w:t>
            </w:r>
            <w:r w:rsidR="003F1F86"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 xml:space="preserve"> </w:t>
            </w:r>
            <w:r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>is</w:t>
            </w:r>
            <w:r w:rsidR="003F1F86"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 xml:space="preserve">sue the bill to </w:t>
            </w:r>
            <w:r w:rsidR="0056306C">
              <w:rPr>
                <w:rFonts w:asciiTheme="minorHAnsi" w:eastAsia="CIDFont+F5" w:hAnsiTheme="minorHAnsi" w:cstheme="minorHAnsi"/>
                <w:sz w:val="23"/>
                <w:szCs w:val="23"/>
              </w:rPr>
              <w:t xml:space="preserve">the </w:t>
            </w:r>
            <w:r w:rsidR="003F1F86"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 xml:space="preserve">RV for payment. </w:t>
            </w:r>
            <w:r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>The</w:t>
            </w:r>
            <w:r w:rsidR="003F1F86"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 xml:space="preserve"> </w:t>
            </w:r>
            <w:r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>co</w:t>
            </w:r>
            <w:r w:rsidR="003F1F86" w:rsidRPr="009732A6">
              <w:rPr>
                <w:rFonts w:asciiTheme="minorHAnsi" w:eastAsia="CIDFont+F5" w:hAnsiTheme="minorHAnsi" w:cstheme="minorHAnsi"/>
                <w:sz w:val="23"/>
                <w:szCs w:val="23"/>
              </w:rPr>
              <w:t>st team will be paid by the</w:t>
            </w:r>
            <w:r w:rsidR="003F1F86" w:rsidRPr="003F1F86">
              <w:rPr>
                <w:rFonts w:ascii="CIDFont+F4" w:eastAsia="CIDFont+F5" w:hAnsi="CIDFont+F4" w:cs="CIDFont+F4"/>
                <w:sz w:val="23"/>
                <w:szCs w:val="23"/>
              </w:rPr>
              <w:t xml:space="preserve"> IBVA</w:t>
            </w:r>
          </w:p>
          <w:p w:rsidR="00DF2BA6" w:rsidRPr="003F1F86" w:rsidRDefault="00DF2BA6" w:rsidP="00E1643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IDFont+F4" w:eastAsia="CIDFont+F5" w:hAnsi="CIDFont+F4" w:cs="CIDFont+F4"/>
                <w:sz w:val="23"/>
                <w:szCs w:val="23"/>
              </w:rPr>
            </w:pPr>
            <w:r w:rsidRPr="003F1F86">
              <w:rPr>
                <w:rFonts w:ascii="CIDFont+F4" w:eastAsia="CIDFont+F5" w:hAnsi="CIDFont+F4" w:cs="CIDFont+F4"/>
                <w:sz w:val="23"/>
                <w:szCs w:val="23"/>
              </w:rPr>
              <w:t>The team should not claim</w:t>
            </w:r>
            <w:r w:rsidR="003F1F86">
              <w:rPr>
                <w:rFonts w:ascii="CIDFont+F4" w:eastAsia="CIDFont+F5" w:hAnsi="CIDFont+F4" w:cs="CIDFont+F4"/>
                <w:sz w:val="23"/>
                <w:szCs w:val="23"/>
              </w:rPr>
              <w:t xml:space="preserve"> </w:t>
            </w:r>
            <w:r w:rsidRPr="003F1F86">
              <w:rPr>
                <w:rFonts w:ascii="CIDFont+F4" w:eastAsia="CIDFont+F5" w:hAnsi="CIDFont+F4" w:cs="CIDFont+F4"/>
                <w:sz w:val="23"/>
                <w:szCs w:val="23"/>
              </w:rPr>
              <w:t xml:space="preserve">any payment or </w:t>
            </w:r>
            <w:r w:rsidR="0056306C">
              <w:rPr>
                <w:rFonts w:ascii="CIDFont+F4" w:eastAsia="CIDFont+F5" w:hAnsi="CIDFont+F4" w:cs="CIDFont+F4"/>
                <w:sz w:val="23"/>
                <w:szCs w:val="23"/>
              </w:rPr>
              <w:t xml:space="preserve">take </w:t>
            </w:r>
            <w:r w:rsidRPr="003F1F86">
              <w:rPr>
                <w:rFonts w:ascii="CIDFont+F4" w:eastAsia="CIDFont+F5" w:hAnsi="CIDFont+F4" w:cs="CIDFont+F4"/>
                <w:sz w:val="23"/>
                <w:szCs w:val="23"/>
              </w:rPr>
              <w:t>any advantages</w:t>
            </w:r>
            <w:r w:rsidR="003F1F86">
              <w:rPr>
                <w:rFonts w:ascii="CIDFont+F4" w:eastAsia="CIDFont+F5" w:hAnsi="CIDFont+F4" w:cs="CIDFont+F4"/>
                <w:sz w:val="23"/>
                <w:szCs w:val="23"/>
              </w:rPr>
              <w:t xml:space="preserve"> </w:t>
            </w:r>
            <w:r w:rsidRPr="003F1F86">
              <w:rPr>
                <w:rFonts w:ascii="CIDFont+F4" w:eastAsia="CIDFont+F5" w:hAnsi="CIDFont+F4" w:cs="CIDFont+F4"/>
                <w:sz w:val="23"/>
                <w:szCs w:val="23"/>
              </w:rPr>
              <w:t>from the RV during or after the</w:t>
            </w:r>
            <w:r w:rsidR="003F1F86">
              <w:rPr>
                <w:rFonts w:ascii="CIDFont+F4" w:eastAsia="CIDFont+F5" w:hAnsi="CIDFont+F4" w:cs="CIDFont+F4"/>
                <w:sz w:val="23"/>
                <w:szCs w:val="23"/>
              </w:rPr>
              <w:t xml:space="preserve"> </w:t>
            </w:r>
            <w:r w:rsidRPr="003F1F86">
              <w:rPr>
                <w:rFonts w:ascii="CIDFont+F4" w:eastAsia="CIDFont+F5" w:hAnsi="CIDFont+F4" w:cs="CIDFont+F4"/>
                <w:sz w:val="23"/>
                <w:szCs w:val="23"/>
              </w:rPr>
              <w:t>inspection.</w:t>
            </w:r>
          </w:p>
        </w:tc>
      </w:tr>
    </w:tbl>
    <w:p w:rsidR="00BC605A" w:rsidRDefault="00BC605A" w:rsidP="00BC605A">
      <w:pPr>
        <w:pStyle w:val="ListParagraph"/>
        <w:rPr>
          <w:rFonts w:ascii="Arial" w:eastAsia="Arial" w:hAnsi="Arial"/>
          <w:b/>
          <w:sz w:val="23"/>
        </w:rPr>
      </w:pPr>
    </w:p>
    <w:p w:rsidR="003F1F86" w:rsidRDefault="003F1F86" w:rsidP="00DF2BA6">
      <w:pPr>
        <w:spacing w:line="0" w:lineRule="atLeast"/>
        <w:rPr>
          <w:rFonts w:ascii="Arial" w:eastAsia="Arial" w:hAnsi="Arial"/>
          <w:b/>
          <w:color w:val="E36C0A" w:themeColor="accent6" w:themeShade="BF"/>
          <w:sz w:val="23"/>
        </w:rPr>
      </w:pPr>
    </w:p>
    <w:p w:rsidR="003F1F86" w:rsidRDefault="003F1F86" w:rsidP="00DF2BA6">
      <w:pPr>
        <w:spacing w:line="0" w:lineRule="atLeast"/>
        <w:rPr>
          <w:rFonts w:ascii="Arial" w:eastAsia="Arial" w:hAnsi="Arial"/>
          <w:b/>
          <w:color w:val="E36C0A" w:themeColor="accent6" w:themeShade="BF"/>
          <w:sz w:val="23"/>
        </w:rPr>
      </w:pPr>
    </w:p>
    <w:p w:rsidR="00F86A9D" w:rsidRDefault="00F86A9D" w:rsidP="00DF2BA6">
      <w:pPr>
        <w:spacing w:line="0" w:lineRule="atLeast"/>
        <w:rPr>
          <w:rFonts w:ascii="Arial" w:eastAsia="Arial" w:hAnsi="Arial"/>
          <w:b/>
          <w:color w:val="E36C0A" w:themeColor="accent6" w:themeShade="BF"/>
          <w:sz w:val="23"/>
        </w:rPr>
      </w:pPr>
    </w:p>
    <w:p w:rsidR="00F86A9D" w:rsidRDefault="00F86A9D" w:rsidP="00DF2BA6">
      <w:pPr>
        <w:spacing w:line="0" w:lineRule="atLeast"/>
        <w:rPr>
          <w:rFonts w:ascii="Arial" w:eastAsia="Arial" w:hAnsi="Arial"/>
          <w:b/>
          <w:color w:val="E36C0A" w:themeColor="accent6" w:themeShade="BF"/>
          <w:sz w:val="23"/>
        </w:rPr>
      </w:pPr>
    </w:p>
    <w:p w:rsidR="00F86A9D" w:rsidRDefault="00F86A9D" w:rsidP="00DF2BA6">
      <w:pPr>
        <w:spacing w:line="0" w:lineRule="atLeast"/>
        <w:rPr>
          <w:rFonts w:ascii="Arial" w:eastAsia="Arial" w:hAnsi="Arial"/>
          <w:b/>
          <w:color w:val="E36C0A" w:themeColor="accent6" w:themeShade="BF"/>
          <w:sz w:val="23"/>
        </w:rPr>
      </w:pPr>
    </w:p>
    <w:p w:rsidR="00F86A9D" w:rsidRDefault="00F86A9D" w:rsidP="00DF2BA6">
      <w:pPr>
        <w:spacing w:line="0" w:lineRule="atLeast"/>
        <w:rPr>
          <w:rFonts w:ascii="Arial" w:eastAsia="Arial" w:hAnsi="Arial"/>
          <w:b/>
          <w:color w:val="E36C0A" w:themeColor="accent6" w:themeShade="BF"/>
          <w:sz w:val="23"/>
        </w:rPr>
      </w:pPr>
    </w:p>
    <w:p w:rsidR="00F86A9D" w:rsidRDefault="00F86A9D" w:rsidP="00DF2BA6">
      <w:pPr>
        <w:spacing w:line="0" w:lineRule="atLeast"/>
        <w:rPr>
          <w:rFonts w:ascii="Arial" w:eastAsia="Arial" w:hAnsi="Arial"/>
          <w:b/>
          <w:color w:val="E36C0A" w:themeColor="accent6" w:themeShade="BF"/>
          <w:sz w:val="23"/>
        </w:rPr>
      </w:pPr>
    </w:p>
    <w:p w:rsidR="00DF2BA6" w:rsidRPr="00DF2BA6" w:rsidRDefault="00DF2BA6" w:rsidP="00DF2BA6">
      <w:pPr>
        <w:spacing w:line="0" w:lineRule="atLeast"/>
        <w:rPr>
          <w:rFonts w:ascii="Arial" w:eastAsia="Arial" w:hAnsi="Arial"/>
          <w:b/>
          <w:color w:val="E36C0A" w:themeColor="accent6" w:themeShade="BF"/>
          <w:sz w:val="23"/>
        </w:rPr>
      </w:pPr>
      <w:r w:rsidRPr="00DF2BA6">
        <w:rPr>
          <w:rFonts w:ascii="Arial" w:eastAsia="Arial" w:hAnsi="Arial"/>
          <w:b/>
          <w:color w:val="E36C0A" w:themeColor="accent6" w:themeShade="BF"/>
          <w:sz w:val="23"/>
        </w:rPr>
        <w:lastRenderedPageBreak/>
        <w:t>Review of the Inspection Policy</w:t>
      </w:r>
    </w:p>
    <w:p w:rsidR="00DF2BA6" w:rsidRDefault="00DF2BA6" w:rsidP="00DF2BA6">
      <w:pPr>
        <w:spacing w:line="208" w:lineRule="exact"/>
        <w:rPr>
          <w:rFonts w:ascii="Times New Roman" w:eastAsia="Times New Roman" w:hAnsi="Times New Roman"/>
        </w:rPr>
      </w:pPr>
    </w:p>
    <w:p w:rsidR="00DF2BA6" w:rsidRDefault="00DF2BA6" w:rsidP="00F27575">
      <w:pPr>
        <w:spacing w:line="289" w:lineRule="auto"/>
        <w:jc w:val="both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The Policy will be implemented with immediate effect. The uploaded policy will be in force for IBVA-RVO for Registered Valuers.</w:t>
      </w:r>
    </w:p>
    <w:p w:rsidR="00DF2BA6" w:rsidRDefault="00DF2BA6" w:rsidP="00F27575">
      <w:pPr>
        <w:spacing w:line="136" w:lineRule="exact"/>
        <w:jc w:val="both"/>
        <w:rPr>
          <w:rFonts w:ascii="Times New Roman" w:eastAsia="Times New Roman" w:hAnsi="Times New Roman"/>
        </w:rPr>
      </w:pPr>
    </w:p>
    <w:p w:rsidR="00DF2BA6" w:rsidRDefault="00DF2BA6" w:rsidP="00F27575">
      <w:pPr>
        <w:spacing w:line="292" w:lineRule="auto"/>
        <w:jc w:val="both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The Policy will be monitored by the IBVA-RVO </w:t>
      </w:r>
      <w:r w:rsidR="00780FC9">
        <w:rPr>
          <w:rFonts w:ascii="Arial" w:eastAsia="Arial" w:hAnsi="Arial"/>
          <w:b/>
          <w:sz w:val="23"/>
        </w:rPr>
        <w:t>B</w:t>
      </w:r>
      <w:r w:rsidR="00277391">
        <w:rPr>
          <w:rFonts w:ascii="Arial" w:eastAsia="Arial" w:hAnsi="Arial"/>
          <w:b/>
          <w:sz w:val="23"/>
        </w:rPr>
        <w:t>oard,</w:t>
      </w:r>
      <w:r>
        <w:rPr>
          <w:rFonts w:ascii="Arial" w:eastAsia="Arial" w:hAnsi="Arial"/>
          <w:b/>
          <w:sz w:val="23"/>
        </w:rPr>
        <w:t xml:space="preserve"> Monitoring Committee and Inspection </w:t>
      </w:r>
      <w:r w:rsidR="00277391">
        <w:rPr>
          <w:rFonts w:ascii="Arial" w:eastAsia="Arial" w:hAnsi="Arial"/>
          <w:b/>
          <w:sz w:val="23"/>
        </w:rPr>
        <w:t>Committee</w:t>
      </w:r>
      <w:r>
        <w:rPr>
          <w:rFonts w:ascii="Arial" w:eastAsia="Arial" w:hAnsi="Arial"/>
          <w:b/>
          <w:sz w:val="23"/>
        </w:rPr>
        <w:t xml:space="preserve"> regularly.</w:t>
      </w:r>
    </w:p>
    <w:p w:rsidR="00DF2BA6" w:rsidRDefault="00DF2BA6" w:rsidP="00DF2BA6">
      <w:pPr>
        <w:spacing w:line="129" w:lineRule="exact"/>
        <w:rPr>
          <w:rFonts w:ascii="Times New Roman" w:eastAsia="Times New Roman" w:hAnsi="Times New Roman"/>
        </w:rPr>
      </w:pPr>
    </w:p>
    <w:p w:rsidR="00DF2BA6" w:rsidRDefault="00DF2BA6" w:rsidP="00DF2BA6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This Inspection policy will be reviewed by</w:t>
      </w:r>
    </w:p>
    <w:p w:rsidR="00DF2BA6" w:rsidRDefault="00DF2BA6" w:rsidP="00DF2BA6">
      <w:pPr>
        <w:spacing w:line="193" w:lineRule="exact"/>
        <w:rPr>
          <w:rFonts w:ascii="Times New Roman" w:eastAsia="Times New Roman" w:hAnsi="Times New Roman"/>
        </w:rPr>
      </w:pPr>
    </w:p>
    <w:p w:rsidR="00DF2BA6" w:rsidRPr="00F27575" w:rsidRDefault="00DF2BA6" w:rsidP="00F27575">
      <w:pPr>
        <w:pStyle w:val="ListParagraph"/>
        <w:numPr>
          <w:ilvl w:val="0"/>
          <w:numId w:val="9"/>
        </w:numPr>
        <w:spacing w:line="0" w:lineRule="atLeast"/>
        <w:rPr>
          <w:rFonts w:ascii="Arial" w:eastAsia="Arial" w:hAnsi="Arial"/>
          <w:b/>
          <w:sz w:val="23"/>
        </w:rPr>
      </w:pPr>
      <w:r w:rsidRPr="00F27575">
        <w:rPr>
          <w:rFonts w:ascii="Arial" w:eastAsia="Arial" w:hAnsi="Arial"/>
          <w:b/>
          <w:sz w:val="23"/>
        </w:rPr>
        <w:t>Inspection Committee – 3 months once,</w:t>
      </w:r>
    </w:p>
    <w:p w:rsidR="00DF2BA6" w:rsidRDefault="00DF2BA6" w:rsidP="00DF2BA6">
      <w:pPr>
        <w:spacing w:line="47" w:lineRule="exact"/>
        <w:rPr>
          <w:rFonts w:ascii="Times New Roman" w:eastAsia="Times New Roman" w:hAnsi="Times New Roman"/>
        </w:rPr>
      </w:pPr>
    </w:p>
    <w:p w:rsidR="00DF2BA6" w:rsidRPr="00F27575" w:rsidRDefault="00DF2BA6" w:rsidP="00F27575">
      <w:pPr>
        <w:pStyle w:val="ListParagraph"/>
        <w:numPr>
          <w:ilvl w:val="0"/>
          <w:numId w:val="9"/>
        </w:numPr>
        <w:spacing w:line="287" w:lineRule="auto"/>
        <w:ind w:right="2840"/>
        <w:rPr>
          <w:rFonts w:ascii="Arial" w:eastAsia="Arial" w:hAnsi="Arial"/>
          <w:b/>
          <w:sz w:val="23"/>
        </w:rPr>
      </w:pPr>
      <w:r w:rsidRPr="00F27575">
        <w:rPr>
          <w:rFonts w:ascii="Arial" w:eastAsia="Arial" w:hAnsi="Arial"/>
          <w:b/>
          <w:sz w:val="23"/>
        </w:rPr>
        <w:t xml:space="preserve">Monitoring committee - by every six months once  </w:t>
      </w:r>
    </w:p>
    <w:p w:rsidR="00DF2BA6" w:rsidRPr="00F27575" w:rsidRDefault="00DF2BA6" w:rsidP="00F27575">
      <w:pPr>
        <w:pStyle w:val="ListParagraph"/>
        <w:numPr>
          <w:ilvl w:val="0"/>
          <w:numId w:val="9"/>
        </w:numPr>
        <w:spacing w:line="287" w:lineRule="auto"/>
        <w:ind w:right="2840"/>
        <w:rPr>
          <w:rFonts w:ascii="Arial" w:eastAsia="Arial" w:hAnsi="Arial"/>
          <w:b/>
          <w:sz w:val="23"/>
        </w:rPr>
      </w:pPr>
      <w:r w:rsidRPr="00F27575">
        <w:rPr>
          <w:rFonts w:ascii="Arial" w:eastAsia="Arial" w:hAnsi="Arial"/>
          <w:b/>
          <w:sz w:val="23"/>
        </w:rPr>
        <w:t>IBVA-RVO - Board- by yearly once.</w:t>
      </w:r>
    </w:p>
    <w:p w:rsidR="00DF2BA6" w:rsidRDefault="00DF2BA6" w:rsidP="00DF2BA6">
      <w:pPr>
        <w:spacing w:line="148" w:lineRule="exact"/>
        <w:rPr>
          <w:rFonts w:ascii="Times New Roman" w:eastAsia="Times New Roman" w:hAnsi="Times New Roman"/>
        </w:rPr>
      </w:pPr>
    </w:p>
    <w:p w:rsidR="00F27575" w:rsidRDefault="00F27575" w:rsidP="00DF2BA6">
      <w:pPr>
        <w:spacing w:line="287" w:lineRule="auto"/>
        <w:rPr>
          <w:rFonts w:ascii="Arial" w:eastAsia="Arial" w:hAnsi="Arial"/>
          <w:b/>
          <w:sz w:val="23"/>
        </w:rPr>
      </w:pPr>
    </w:p>
    <w:p w:rsidR="00DF2BA6" w:rsidRDefault="00DF2BA6" w:rsidP="00DF2BA6">
      <w:pPr>
        <w:spacing w:line="287" w:lineRule="auto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The policy will be amended from time to time by IBVA - RVO board as per the regulations of IBBI as and when required.</w:t>
      </w:r>
    </w:p>
    <w:p w:rsidR="00DF2BA6" w:rsidRDefault="00DF2BA6" w:rsidP="00BC605A">
      <w:pPr>
        <w:tabs>
          <w:tab w:val="left" w:pos="1860"/>
        </w:tabs>
        <w:spacing w:line="401" w:lineRule="auto"/>
        <w:ind w:left="1860"/>
        <w:rPr>
          <w:rFonts w:ascii="Arial" w:eastAsia="Arial" w:hAnsi="Arial"/>
          <w:b/>
          <w:sz w:val="23"/>
        </w:rPr>
      </w:pPr>
    </w:p>
    <w:p w:rsidR="00BC605A" w:rsidRDefault="00BC605A" w:rsidP="00BC605A">
      <w:pPr>
        <w:tabs>
          <w:tab w:val="left" w:pos="1860"/>
        </w:tabs>
        <w:spacing w:line="401" w:lineRule="auto"/>
        <w:ind w:left="1860"/>
        <w:rPr>
          <w:rFonts w:ascii="Arial" w:eastAsia="Arial" w:hAnsi="Arial"/>
          <w:b/>
          <w:sz w:val="23"/>
        </w:rPr>
      </w:pPr>
    </w:p>
    <w:p w:rsidR="00BC605A" w:rsidRDefault="00BC605A" w:rsidP="00BC605A">
      <w:pPr>
        <w:tabs>
          <w:tab w:val="left" w:pos="1860"/>
        </w:tabs>
        <w:spacing w:line="401" w:lineRule="auto"/>
        <w:ind w:left="1860"/>
        <w:rPr>
          <w:rFonts w:ascii="Arial" w:eastAsia="Arial" w:hAnsi="Arial"/>
          <w:b/>
          <w:sz w:val="23"/>
        </w:rPr>
      </w:pPr>
    </w:p>
    <w:p w:rsidR="0011237E" w:rsidRDefault="0011237E" w:rsidP="0011237E">
      <w:pPr>
        <w:pStyle w:val="ListParagraph"/>
        <w:rPr>
          <w:rFonts w:ascii="Arial" w:eastAsia="Arial" w:hAnsi="Arial"/>
          <w:b/>
          <w:sz w:val="23"/>
        </w:rPr>
      </w:pPr>
    </w:p>
    <w:p w:rsidR="0011237E" w:rsidRDefault="0011237E" w:rsidP="0011237E">
      <w:pPr>
        <w:tabs>
          <w:tab w:val="left" w:pos="1860"/>
        </w:tabs>
        <w:spacing w:line="401" w:lineRule="auto"/>
        <w:rPr>
          <w:rFonts w:ascii="Arial" w:eastAsia="Arial" w:hAnsi="Arial"/>
          <w:b/>
          <w:sz w:val="23"/>
        </w:rPr>
      </w:pPr>
    </w:p>
    <w:p w:rsidR="0011237E" w:rsidRPr="0011237E" w:rsidRDefault="0011237E" w:rsidP="0011237E">
      <w:pPr>
        <w:spacing w:line="309" w:lineRule="auto"/>
        <w:rPr>
          <w:rFonts w:ascii="Arial" w:eastAsia="Arial" w:hAnsi="Arial"/>
          <w:b/>
          <w:sz w:val="23"/>
        </w:rPr>
      </w:pPr>
    </w:p>
    <w:p w:rsidR="0011237E" w:rsidRDefault="0011237E" w:rsidP="0011237E">
      <w:pPr>
        <w:spacing w:line="287" w:lineRule="auto"/>
        <w:ind w:right="20"/>
        <w:jc w:val="both"/>
        <w:rPr>
          <w:rFonts w:ascii="Arial" w:eastAsia="Arial" w:hAnsi="Arial"/>
          <w:b/>
          <w:sz w:val="23"/>
        </w:rPr>
      </w:pPr>
    </w:p>
    <w:p w:rsidR="0011237E" w:rsidRPr="0011237E" w:rsidRDefault="0011237E" w:rsidP="0011237E">
      <w:pPr>
        <w:spacing w:line="0" w:lineRule="atLeast"/>
        <w:ind w:right="40"/>
        <w:rPr>
          <w:rFonts w:ascii="Arial" w:eastAsia="Arial" w:hAnsi="Arial"/>
          <w:b/>
          <w:color w:val="548DD4" w:themeColor="text2" w:themeTint="99"/>
          <w:sz w:val="24"/>
        </w:rPr>
      </w:pPr>
    </w:p>
    <w:p w:rsidR="0011237E" w:rsidRDefault="0011237E"/>
    <w:sectPr w:rsidR="0011237E" w:rsidSect="00995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3D1B58BA"/>
    <w:lvl w:ilvl="0" w:tplc="5596F2DE">
      <w:start w:val="1"/>
      <w:numFmt w:val="bullet"/>
      <w:lvlText w:val=" "/>
      <w:lvlJc w:val="left"/>
    </w:lvl>
    <w:lvl w:ilvl="1" w:tplc="EE2C9C98">
      <w:start w:val="1"/>
      <w:numFmt w:val="decimal"/>
      <w:lvlText w:val="%2."/>
      <w:lvlJc w:val="left"/>
    </w:lvl>
    <w:lvl w:ilvl="2" w:tplc="F53EFCB0">
      <w:start w:val="1"/>
      <w:numFmt w:val="bullet"/>
      <w:lvlText w:val=""/>
      <w:lvlJc w:val="left"/>
    </w:lvl>
    <w:lvl w:ilvl="3" w:tplc="9E76C2BC">
      <w:start w:val="1"/>
      <w:numFmt w:val="bullet"/>
      <w:lvlText w:val=""/>
      <w:lvlJc w:val="left"/>
    </w:lvl>
    <w:lvl w:ilvl="4" w:tplc="39CCCA32">
      <w:start w:val="1"/>
      <w:numFmt w:val="bullet"/>
      <w:lvlText w:val=""/>
      <w:lvlJc w:val="left"/>
    </w:lvl>
    <w:lvl w:ilvl="5" w:tplc="74C66826">
      <w:start w:val="1"/>
      <w:numFmt w:val="bullet"/>
      <w:lvlText w:val=""/>
      <w:lvlJc w:val="left"/>
    </w:lvl>
    <w:lvl w:ilvl="6" w:tplc="CFC2F7F0">
      <w:start w:val="1"/>
      <w:numFmt w:val="bullet"/>
      <w:lvlText w:val=""/>
      <w:lvlJc w:val="left"/>
    </w:lvl>
    <w:lvl w:ilvl="7" w:tplc="3968B254">
      <w:start w:val="1"/>
      <w:numFmt w:val="bullet"/>
      <w:lvlText w:val=""/>
      <w:lvlJc w:val="left"/>
    </w:lvl>
    <w:lvl w:ilvl="8" w:tplc="DF6A8962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507ED7AA"/>
    <w:lvl w:ilvl="0" w:tplc="12906B5A">
      <w:start w:val="1"/>
      <w:numFmt w:val="decimal"/>
      <w:lvlText w:val="%1."/>
      <w:lvlJc w:val="left"/>
    </w:lvl>
    <w:lvl w:ilvl="1" w:tplc="E05EF4FA">
      <w:start w:val="1"/>
      <w:numFmt w:val="bullet"/>
      <w:lvlText w:val=" "/>
      <w:lvlJc w:val="left"/>
    </w:lvl>
    <w:lvl w:ilvl="2" w:tplc="BBB23526">
      <w:start w:val="1"/>
      <w:numFmt w:val="bullet"/>
      <w:lvlText w:val=""/>
      <w:lvlJc w:val="left"/>
    </w:lvl>
    <w:lvl w:ilvl="3" w:tplc="5E903E9E">
      <w:start w:val="1"/>
      <w:numFmt w:val="bullet"/>
      <w:lvlText w:val=""/>
      <w:lvlJc w:val="left"/>
    </w:lvl>
    <w:lvl w:ilvl="4" w:tplc="83CC8A06">
      <w:start w:val="1"/>
      <w:numFmt w:val="bullet"/>
      <w:lvlText w:val=""/>
      <w:lvlJc w:val="left"/>
    </w:lvl>
    <w:lvl w:ilvl="5" w:tplc="A3E2B486">
      <w:start w:val="1"/>
      <w:numFmt w:val="bullet"/>
      <w:lvlText w:val=""/>
      <w:lvlJc w:val="left"/>
    </w:lvl>
    <w:lvl w:ilvl="6" w:tplc="EC1C8B18">
      <w:start w:val="1"/>
      <w:numFmt w:val="bullet"/>
      <w:lvlText w:val=""/>
      <w:lvlJc w:val="left"/>
    </w:lvl>
    <w:lvl w:ilvl="7" w:tplc="A318489A">
      <w:start w:val="1"/>
      <w:numFmt w:val="bullet"/>
      <w:lvlText w:val=""/>
      <w:lvlJc w:val="left"/>
    </w:lvl>
    <w:lvl w:ilvl="8" w:tplc="8E8E768A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EB141F2"/>
    <w:lvl w:ilvl="0" w:tplc="C7081520">
      <w:start w:val="1"/>
      <w:numFmt w:val="decimal"/>
      <w:lvlText w:val="%1."/>
      <w:lvlJc w:val="left"/>
    </w:lvl>
    <w:lvl w:ilvl="1" w:tplc="E820B31A">
      <w:start w:val="1"/>
      <w:numFmt w:val="bullet"/>
      <w:lvlText w:val=""/>
      <w:lvlJc w:val="left"/>
    </w:lvl>
    <w:lvl w:ilvl="2" w:tplc="8A2EA114">
      <w:start w:val="1"/>
      <w:numFmt w:val="bullet"/>
      <w:lvlText w:val=""/>
      <w:lvlJc w:val="left"/>
    </w:lvl>
    <w:lvl w:ilvl="3" w:tplc="EE280824">
      <w:start w:val="1"/>
      <w:numFmt w:val="bullet"/>
      <w:lvlText w:val=""/>
      <w:lvlJc w:val="left"/>
    </w:lvl>
    <w:lvl w:ilvl="4" w:tplc="CD5E426A">
      <w:start w:val="1"/>
      <w:numFmt w:val="bullet"/>
      <w:lvlText w:val=""/>
      <w:lvlJc w:val="left"/>
    </w:lvl>
    <w:lvl w:ilvl="5" w:tplc="4BD0DC80">
      <w:start w:val="1"/>
      <w:numFmt w:val="bullet"/>
      <w:lvlText w:val=""/>
      <w:lvlJc w:val="left"/>
    </w:lvl>
    <w:lvl w:ilvl="6" w:tplc="B2B8DD00">
      <w:start w:val="1"/>
      <w:numFmt w:val="bullet"/>
      <w:lvlText w:val=""/>
      <w:lvlJc w:val="left"/>
    </w:lvl>
    <w:lvl w:ilvl="7" w:tplc="C824BCA4">
      <w:start w:val="1"/>
      <w:numFmt w:val="bullet"/>
      <w:lvlText w:val=""/>
      <w:lvlJc w:val="left"/>
    </w:lvl>
    <w:lvl w:ilvl="8" w:tplc="6FE2B68E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1B71EFA"/>
    <w:lvl w:ilvl="0" w:tplc="4ED805E8">
      <w:start w:val="1"/>
      <w:numFmt w:val="decimal"/>
      <w:lvlText w:val="%1"/>
      <w:lvlJc w:val="left"/>
    </w:lvl>
    <w:lvl w:ilvl="1" w:tplc="E2021748">
      <w:start w:val="3"/>
      <w:numFmt w:val="decimal"/>
      <w:lvlText w:val="%2."/>
      <w:lvlJc w:val="left"/>
    </w:lvl>
    <w:lvl w:ilvl="2" w:tplc="94DAD7A8">
      <w:start w:val="1"/>
      <w:numFmt w:val="bullet"/>
      <w:lvlText w:val=""/>
      <w:lvlJc w:val="left"/>
    </w:lvl>
    <w:lvl w:ilvl="3" w:tplc="D99CC514">
      <w:start w:val="1"/>
      <w:numFmt w:val="bullet"/>
      <w:lvlText w:val=""/>
      <w:lvlJc w:val="left"/>
    </w:lvl>
    <w:lvl w:ilvl="4" w:tplc="33B0342A">
      <w:start w:val="1"/>
      <w:numFmt w:val="bullet"/>
      <w:lvlText w:val=""/>
      <w:lvlJc w:val="left"/>
    </w:lvl>
    <w:lvl w:ilvl="5" w:tplc="9E2228A4">
      <w:start w:val="1"/>
      <w:numFmt w:val="bullet"/>
      <w:lvlText w:val=""/>
      <w:lvlJc w:val="left"/>
    </w:lvl>
    <w:lvl w:ilvl="6" w:tplc="73864956">
      <w:start w:val="1"/>
      <w:numFmt w:val="bullet"/>
      <w:lvlText w:val=""/>
      <w:lvlJc w:val="left"/>
    </w:lvl>
    <w:lvl w:ilvl="7" w:tplc="B94C2178">
      <w:start w:val="1"/>
      <w:numFmt w:val="bullet"/>
      <w:lvlText w:val=""/>
      <w:lvlJc w:val="left"/>
    </w:lvl>
    <w:lvl w:ilvl="8" w:tplc="6D642082">
      <w:start w:val="1"/>
      <w:numFmt w:val="bullet"/>
      <w:lvlText w:val=""/>
      <w:lvlJc w:val="left"/>
    </w:lvl>
  </w:abstractNum>
  <w:abstractNum w:abstractNumId="4" w15:restartNumberingAfterBreak="0">
    <w:nsid w:val="2F0D318D"/>
    <w:multiLevelType w:val="hybridMultilevel"/>
    <w:tmpl w:val="6B96C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379BD"/>
    <w:multiLevelType w:val="hybridMultilevel"/>
    <w:tmpl w:val="4D4A9A42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4B676DE4"/>
    <w:multiLevelType w:val="hybridMultilevel"/>
    <w:tmpl w:val="3FBC7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F1A34"/>
    <w:multiLevelType w:val="hybridMultilevel"/>
    <w:tmpl w:val="DD34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D013D"/>
    <w:multiLevelType w:val="hybridMultilevel"/>
    <w:tmpl w:val="5D5E6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45E5E"/>
    <w:multiLevelType w:val="hybridMultilevel"/>
    <w:tmpl w:val="22B60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17F18"/>
    <w:multiLevelType w:val="hybridMultilevel"/>
    <w:tmpl w:val="166A5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C040D"/>
    <w:multiLevelType w:val="hybridMultilevel"/>
    <w:tmpl w:val="23CA7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302E6"/>
    <w:multiLevelType w:val="hybridMultilevel"/>
    <w:tmpl w:val="DED64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21C52"/>
    <w:multiLevelType w:val="hybridMultilevel"/>
    <w:tmpl w:val="64848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33834"/>
    <w:multiLevelType w:val="hybridMultilevel"/>
    <w:tmpl w:val="CF00D552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7E"/>
    <w:rsid w:val="0011237E"/>
    <w:rsid w:val="00117D87"/>
    <w:rsid w:val="00183ADD"/>
    <w:rsid w:val="00213740"/>
    <w:rsid w:val="00231E2C"/>
    <w:rsid w:val="00275335"/>
    <w:rsid w:val="00277391"/>
    <w:rsid w:val="002A335D"/>
    <w:rsid w:val="002F1260"/>
    <w:rsid w:val="00353667"/>
    <w:rsid w:val="003A7308"/>
    <w:rsid w:val="003B2A1E"/>
    <w:rsid w:val="003F1F86"/>
    <w:rsid w:val="00404C6A"/>
    <w:rsid w:val="00433F8A"/>
    <w:rsid w:val="004B6F35"/>
    <w:rsid w:val="004F2244"/>
    <w:rsid w:val="004F59E2"/>
    <w:rsid w:val="00511512"/>
    <w:rsid w:val="0051359C"/>
    <w:rsid w:val="00542BBA"/>
    <w:rsid w:val="0056306C"/>
    <w:rsid w:val="005A3C07"/>
    <w:rsid w:val="005C5372"/>
    <w:rsid w:val="006131F0"/>
    <w:rsid w:val="00694220"/>
    <w:rsid w:val="006D38A3"/>
    <w:rsid w:val="00757C60"/>
    <w:rsid w:val="00780FC9"/>
    <w:rsid w:val="007A0539"/>
    <w:rsid w:val="00857EEE"/>
    <w:rsid w:val="00892CA9"/>
    <w:rsid w:val="008B5665"/>
    <w:rsid w:val="008F0009"/>
    <w:rsid w:val="00924494"/>
    <w:rsid w:val="009319A7"/>
    <w:rsid w:val="00932342"/>
    <w:rsid w:val="0095179D"/>
    <w:rsid w:val="009732A6"/>
    <w:rsid w:val="0099512C"/>
    <w:rsid w:val="009D14DE"/>
    <w:rsid w:val="00A01796"/>
    <w:rsid w:val="00A61D4A"/>
    <w:rsid w:val="00AE73B2"/>
    <w:rsid w:val="00B730BB"/>
    <w:rsid w:val="00BC605A"/>
    <w:rsid w:val="00C10E90"/>
    <w:rsid w:val="00C14229"/>
    <w:rsid w:val="00C32056"/>
    <w:rsid w:val="00C44E82"/>
    <w:rsid w:val="00C46900"/>
    <w:rsid w:val="00CA33FB"/>
    <w:rsid w:val="00D0159F"/>
    <w:rsid w:val="00D1717D"/>
    <w:rsid w:val="00DB564C"/>
    <w:rsid w:val="00DC61B2"/>
    <w:rsid w:val="00DF2BA6"/>
    <w:rsid w:val="00E16436"/>
    <w:rsid w:val="00E47746"/>
    <w:rsid w:val="00E80CD6"/>
    <w:rsid w:val="00E97848"/>
    <w:rsid w:val="00EB4A34"/>
    <w:rsid w:val="00F27575"/>
    <w:rsid w:val="00F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DF1FA-C643-4C4C-A4BE-72C96CEC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37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7E"/>
    <w:pPr>
      <w:ind w:left="720"/>
      <w:contextualSpacing/>
    </w:pPr>
  </w:style>
  <w:style w:type="table" w:styleId="TableGrid">
    <w:name w:val="Table Grid"/>
    <w:basedOn w:val="TableNormal"/>
    <w:uiPriority w:val="59"/>
    <w:rsid w:val="00BC60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25087-B54A-4C48-B20F-93F58C12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 JHA</cp:lastModifiedBy>
  <cp:revision>82</cp:revision>
  <cp:lastPrinted>2020-07-20T04:18:00Z</cp:lastPrinted>
  <dcterms:created xsi:type="dcterms:W3CDTF">2020-08-28T04:31:00Z</dcterms:created>
  <dcterms:modified xsi:type="dcterms:W3CDTF">2020-08-28T05:25:00Z</dcterms:modified>
</cp:coreProperties>
</file>